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D7DE" w14:textId="77777777" w:rsidR="000B4CDE" w:rsidRDefault="000B4CDE" w:rsidP="000B4CDE">
      <w:pPr>
        <w:jc w:val="center"/>
        <w:rPr>
          <w:rFonts w:cs="Arial"/>
          <w:b/>
          <w:color w:val="0070C0"/>
          <w:sz w:val="48"/>
        </w:rPr>
      </w:pPr>
    </w:p>
    <w:p w14:paraId="7C3BDD8D" w14:textId="77777777" w:rsidR="000B4CDE" w:rsidRDefault="000B4CDE" w:rsidP="000B4CDE">
      <w:pPr>
        <w:jc w:val="center"/>
        <w:rPr>
          <w:rFonts w:cs="Arial"/>
          <w:b/>
          <w:color w:val="0070C0"/>
          <w:sz w:val="48"/>
        </w:rPr>
      </w:pPr>
    </w:p>
    <w:p w14:paraId="28E2FA24" w14:textId="77777777" w:rsidR="000B4CDE" w:rsidRDefault="000B4CDE" w:rsidP="000B4CDE">
      <w:pPr>
        <w:jc w:val="center"/>
        <w:rPr>
          <w:rFonts w:cs="Arial"/>
          <w:b/>
          <w:color w:val="0070C0"/>
          <w:sz w:val="48"/>
        </w:rPr>
      </w:pPr>
    </w:p>
    <w:p w14:paraId="77046430" w14:textId="68B5D1E1" w:rsidR="000B4CDE" w:rsidRPr="00252A16" w:rsidRDefault="000B4CDE" w:rsidP="08FEDD10">
      <w:pPr>
        <w:jc w:val="center"/>
        <w:rPr>
          <w:rFonts w:cs="Arial"/>
          <w:b/>
          <w:bCs/>
          <w:color w:val="0070C0"/>
          <w:sz w:val="56"/>
          <w:szCs w:val="56"/>
        </w:rPr>
      </w:pPr>
      <w:r w:rsidRPr="00252A16">
        <w:rPr>
          <w:rFonts w:cs="Arial"/>
          <w:b/>
          <w:bCs/>
          <w:color w:val="0070C0"/>
          <w:sz w:val="56"/>
          <w:szCs w:val="56"/>
        </w:rPr>
        <w:t xml:space="preserve">National Preceptorship </w:t>
      </w:r>
    </w:p>
    <w:p w14:paraId="3CC2B96E" w14:textId="77777777" w:rsidR="000B4CDE" w:rsidRPr="00252A16" w:rsidRDefault="000B4CDE" w:rsidP="000B4CDE">
      <w:pPr>
        <w:jc w:val="center"/>
        <w:rPr>
          <w:rFonts w:cs="Arial"/>
          <w:b/>
          <w:color w:val="0070C0"/>
          <w:sz w:val="56"/>
          <w:szCs w:val="56"/>
        </w:rPr>
      </w:pPr>
    </w:p>
    <w:p w14:paraId="41E2223A" w14:textId="77777777" w:rsidR="005D5521" w:rsidRPr="00252A16" w:rsidRDefault="005D5521" w:rsidP="2B8FA7E7">
      <w:pPr>
        <w:jc w:val="center"/>
        <w:rPr>
          <w:rFonts w:cs="Arial"/>
          <w:b/>
          <w:bCs/>
          <w:color w:val="0070C0"/>
          <w:sz w:val="56"/>
          <w:szCs w:val="56"/>
        </w:rPr>
      </w:pPr>
      <w:r w:rsidRPr="00252A16">
        <w:rPr>
          <w:rFonts w:cs="Arial"/>
          <w:b/>
          <w:bCs/>
          <w:color w:val="0070C0"/>
          <w:sz w:val="56"/>
          <w:szCs w:val="56"/>
        </w:rPr>
        <w:t>Improving Nurse Retention:</w:t>
      </w:r>
    </w:p>
    <w:p w14:paraId="03170178" w14:textId="2B5EC39E" w:rsidR="000B4CDE" w:rsidRPr="00252A16" w:rsidRDefault="005D5521" w:rsidP="2B8FA7E7">
      <w:pPr>
        <w:jc w:val="center"/>
        <w:rPr>
          <w:rFonts w:cs="Arial"/>
          <w:b/>
          <w:bCs/>
          <w:color w:val="0070C0"/>
          <w:sz w:val="56"/>
          <w:szCs w:val="56"/>
        </w:rPr>
      </w:pPr>
      <w:r w:rsidRPr="00252A16">
        <w:rPr>
          <w:rFonts w:cs="Arial"/>
          <w:b/>
          <w:bCs/>
          <w:color w:val="0070C0"/>
          <w:sz w:val="56"/>
          <w:szCs w:val="56"/>
        </w:rPr>
        <w:t>The case for investing in preceptorship</w:t>
      </w:r>
    </w:p>
    <w:p w14:paraId="4C79BCB3" w14:textId="7548EED3" w:rsidR="000B4CDE" w:rsidRPr="00252A16" w:rsidRDefault="000B4CDE" w:rsidP="000B4CDE">
      <w:pPr>
        <w:jc w:val="center"/>
        <w:rPr>
          <w:rFonts w:cs="Arial"/>
          <w:b/>
          <w:color w:val="0070C0"/>
          <w:sz w:val="56"/>
          <w:szCs w:val="56"/>
        </w:rPr>
      </w:pPr>
    </w:p>
    <w:p w14:paraId="7F302EFB" w14:textId="40E45561" w:rsidR="000B4CDE" w:rsidRPr="00252A16" w:rsidRDefault="000B4CDE" w:rsidP="000B4CDE">
      <w:pPr>
        <w:jc w:val="center"/>
        <w:rPr>
          <w:rFonts w:cs="Arial"/>
          <w:b/>
          <w:color w:val="0070C0"/>
          <w:sz w:val="56"/>
          <w:szCs w:val="56"/>
        </w:rPr>
      </w:pPr>
      <w:r w:rsidRPr="00252A16">
        <w:rPr>
          <w:rFonts w:cs="Arial"/>
          <w:b/>
          <w:color w:val="0070C0"/>
          <w:sz w:val="56"/>
          <w:szCs w:val="56"/>
        </w:rPr>
        <w:t>Version 1.</w:t>
      </w:r>
      <w:r w:rsidR="009712CE">
        <w:rPr>
          <w:rFonts w:cs="Arial"/>
          <w:b/>
          <w:color w:val="0070C0"/>
          <w:sz w:val="56"/>
          <w:szCs w:val="56"/>
        </w:rPr>
        <w:t>5</w:t>
      </w:r>
      <w:r w:rsidRPr="00252A16">
        <w:rPr>
          <w:rFonts w:cs="Arial"/>
          <w:b/>
          <w:color w:val="0070C0"/>
          <w:sz w:val="56"/>
          <w:szCs w:val="56"/>
        </w:rPr>
        <w:t xml:space="preserve"> – </w:t>
      </w:r>
      <w:r w:rsidR="00DA49F8">
        <w:rPr>
          <w:rFonts w:cs="Arial"/>
          <w:b/>
          <w:color w:val="0070C0"/>
          <w:sz w:val="56"/>
          <w:szCs w:val="56"/>
        </w:rPr>
        <w:t>August</w:t>
      </w:r>
      <w:r w:rsidRPr="00252A16">
        <w:rPr>
          <w:rFonts w:cs="Arial"/>
          <w:b/>
          <w:color w:val="0070C0"/>
          <w:sz w:val="56"/>
          <w:szCs w:val="56"/>
        </w:rPr>
        <w:t xml:space="preserve"> 2022</w:t>
      </w:r>
    </w:p>
    <w:p w14:paraId="79AC684D" w14:textId="77777777" w:rsidR="000B4CDE" w:rsidRPr="00282B1A" w:rsidRDefault="000B4CDE">
      <w:pPr>
        <w:rPr>
          <w:rFonts w:cs="Arial"/>
        </w:rPr>
      </w:pPr>
    </w:p>
    <w:p w14:paraId="3D77EB1E" w14:textId="77777777" w:rsidR="00E311F3" w:rsidRPr="00F84032" w:rsidRDefault="000B4CDE" w:rsidP="00E311F3">
      <w:pPr>
        <w:rPr>
          <w:sz w:val="22"/>
        </w:rPr>
      </w:pPr>
      <w:r w:rsidRPr="00282B1A">
        <w:rPr>
          <w:rFonts w:cs="Arial"/>
        </w:rPr>
        <w:br w:type="page"/>
      </w:r>
      <w:r w:rsidR="00E311F3" w:rsidRPr="00F84032">
        <w:rPr>
          <w:sz w:val="22"/>
        </w:rPr>
        <w:lastRenderedPageBreak/>
        <w:t>In December 2021 London NHS Region was commissioned to undertake a National Programme to oversee the delivery of a collectively agreed set of standards and a framework for good practice in implementing preceptorship for newly registered nurses and nursing associates along with an accreditation framework which might subsequently be expanded to other professional groups.</w:t>
      </w:r>
    </w:p>
    <w:p w14:paraId="3C83A9D7" w14:textId="2D22F4B3" w:rsidR="00E311F3" w:rsidRPr="00F84032" w:rsidRDefault="00E311F3" w:rsidP="00E311F3">
      <w:pPr>
        <w:rPr>
          <w:sz w:val="22"/>
        </w:rPr>
      </w:pPr>
      <w:r w:rsidRPr="00F84032">
        <w:rPr>
          <w:sz w:val="22"/>
        </w:rPr>
        <w:t xml:space="preserve">This programme was based on the </w:t>
      </w:r>
      <w:proofErr w:type="spellStart"/>
      <w:r w:rsidRPr="00F84032">
        <w:rPr>
          <w:sz w:val="22"/>
        </w:rPr>
        <w:t>CapitalNurse</w:t>
      </w:r>
      <w:proofErr w:type="spellEnd"/>
      <w:r w:rsidRPr="00F84032">
        <w:rPr>
          <w:sz w:val="22"/>
        </w:rPr>
        <w:t xml:space="preserve"> work undertaken by London. </w:t>
      </w:r>
      <w:proofErr w:type="spellStart"/>
      <w:r w:rsidRPr="00F84032">
        <w:rPr>
          <w:sz w:val="22"/>
        </w:rPr>
        <w:t>CapitalNurse</w:t>
      </w:r>
      <w:proofErr w:type="spellEnd"/>
      <w:r w:rsidRPr="00F84032">
        <w:rPr>
          <w:sz w:val="22"/>
        </w:rPr>
        <w:t xml:space="preserve"> was established in July 2015 by the London Chief Nurse and the Health Education England Regional Director and was jointly sponsored by Health Education England, NHS </w:t>
      </w:r>
      <w:proofErr w:type="gramStart"/>
      <w:r w:rsidRPr="00F84032">
        <w:rPr>
          <w:sz w:val="22"/>
        </w:rPr>
        <w:t>England</w:t>
      </w:r>
      <w:proofErr w:type="gramEnd"/>
      <w:r w:rsidRPr="00F84032">
        <w:rPr>
          <w:sz w:val="22"/>
        </w:rPr>
        <w:t xml:space="preserve"> and NHS Improvement. By the end of 2019 all of the London Trusts had adopted the preceptorship </w:t>
      </w:r>
      <w:proofErr w:type="gramStart"/>
      <w:r w:rsidRPr="00F84032">
        <w:rPr>
          <w:sz w:val="22"/>
        </w:rPr>
        <w:t>framework</w:t>
      </w:r>
      <w:proofErr w:type="gramEnd"/>
      <w:r w:rsidRPr="00F84032">
        <w:rPr>
          <w:sz w:val="22"/>
        </w:rPr>
        <w:t xml:space="preserve"> and many have received</w:t>
      </w:r>
      <w:r w:rsidR="008A6FFC" w:rsidRPr="00F84032">
        <w:rPr>
          <w:sz w:val="22"/>
        </w:rPr>
        <w:t xml:space="preserve"> </w:t>
      </w:r>
      <w:r w:rsidRPr="00F84032">
        <w:rPr>
          <w:sz w:val="22"/>
        </w:rPr>
        <w:t xml:space="preserve">accreditation </w:t>
      </w:r>
    </w:p>
    <w:p w14:paraId="3AEF1FE3" w14:textId="1DDA1F91" w:rsidR="00E311F3" w:rsidRPr="00F84032" w:rsidRDefault="00E311F3" w:rsidP="00E311F3">
      <w:pPr>
        <w:rPr>
          <w:sz w:val="22"/>
        </w:rPr>
      </w:pPr>
      <w:r w:rsidRPr="00F84032">
        <w:rPr>
          <w:sz w:val="22"/>
        </w:rPr>
        <w:t xml:space="preserve">This document supports how implementation will benefit your organisation. This briefing sets out the return on investment a trust/health provider can expect from adopting the framework. Fundamentally the new framework is premised on the value that it will be a means of supporting and developing newly registered nurses so that their confidence, </w:t>
      </w:r>
      <w:proofErr w:type="gramStart"/>
      <w:r w:rsidRPr="00F84032">
        <w:rPr>
          <w:sz w:val="22"/>
        </w:rPr>
        <w:t>skills</w:t>
      </w:r>
      <w:proofErr w:type="gramEnd"/>
      <w:r w:rsidRPr="00F84032">
        <w:rPr>
          <w:sz w:val="22"/>
        </w:rPr>
        <w:t xml:space="preserve"> and behaviours can flourish, and their careers can progress. Fulfilled nurses, who are supported at this crucial stage of their early career, are more likely to stay with their first employer, using their growing knowledge and experience to benefit their patients, which in turn leads to improved clinical outcomes. Good quality preceptorship in year one for new graduate nurses has an impact on retention, and furthermore, these nurses are more likely to be retained for up to five years post qualifying. In summary, investment in preceptorship provides trusts with triple returns: it improves retention, it increases nursing </w:t>
      </w:r>
      <w:proofErr w:type="gramStart"/>
      <w:r w:rsidRPr="00F84032">
        <w:rPr>
          <w:sz w:val="22"/>
        </w:rPr>
        <w:t>skill</w:t>
      </w:r>
      <w:proofErr w:type="gramEnd"/>
      <w:r w:rsidRPr="00F84032">
        <w:rPr>
          <w:sz w:val="22"/>
        </w:rPr>
        <w:t xml:space="preserve"> and it produces economic value.</w:t>
      </w:r>
    </w:p>
    <w:p w14:paraId="5F25F0FC" w14:textId="4CB06E2D" w:rsidR="00E311F3" w:rsidRPr="00F84032" w:rsidRDefault="00E311F3" w:rsidP="00E311F3">
      <w:pPr>
        <w:rPr>
          <w:color w:val="0070C0"/>
          <w:sz w:val="28"/>
          <w:szCs w:val="28"/>
        </w:rPr>
      </w:pPr>
      <w:r w:rsidRPr="00F84032">
        <w:rPr>
          <w:color w:val="0070C0"/>
          <w:sz w:val="28"/>
          <w:szCs w:val="28"/>
        </w:rPr>
        <w:t>What is preceptorship?</w:t>
      </w:r>
    </w:p>
    <w:p w14:paraId="4D9ACA51" w14:textId="01C98C02" w:rsidR="00E311F3" w:rsidRPr="00F84032" w:rsidRDefault="00CC3912" w:rsidP="00E311F3">
      <w:pPr>
        <w:spacing w:after="0"/>
        <w:rPr>
          <w:sz w:val="22"/>
        </w:rPr>
      </w:pPr>
      <w:r>
        <w:rPr>
          <w:sz w:val="22"/>
        </w:rPr>
        <w:t>Preceptorship is defined as</w:t>
      </w:r>
      <w:r w:rsidR="00E311F3" w:rsidRPr="00F84032">
        <w:rPr>
          <w:sz w:val="22"/>
        </w:rPr>
        <w:t>:</w:t>
      </w:r>
    </w:p>
    <w:p w14:paraId="77051A49" w14:textId="77777777" w:rsidR="00E311F3" w:rsidRPr="00F84032" w:rsidRDefault="00E311F3" w:rsidP="00E311F3">
      <w:pPr>
        <w:spacing w:after="0"/>
        <w:rPr>
          <w:sz w:val="22"/>
        </w:rPr>
      </w:pPr>
    </w:p>
    <w:p w14:paraId="55B65883" w14:textId="0512A34B" w:rsidR="00CC3912" w:rsidRPr="00CC3912" w:rsidRDefault="00E311F3" w:rsidP="00CC3912">
      <w:pPr>
        <w:rPr>
          <w:sz w:val="22"/>
        </w:rPr>
      </w:pPr>
      <w:r w:rsidRPr="00F84032">
        <w:rPr>
          <w:sz w:val="22"/>
        </w:rPr>
        <w:t>‘</w:t>
      </w:r>
      <w:r w:rsidR="00B07093" w:rsidRPr="009D1EEB">
        <w:rPr>
          <w:sz w:val="22"/>
        </w:rPr>
        <w:t xml:space="preserve">The purpose of preceptorship is to provide support, guidance and development for all newly registered practitioners to build confidence and </w:t>
      </w:r>
      <w:r w:rsidR="00B07093">
        <w:rPr>
          <w:sz w:val="22"/>
        </w:rPr>
        <w:t xml:space="preserve">develop further </w:t>
      </w:r>
      <w:r w:rsidR="00B07093" w:rsidRPr="009D1EEB">
        <w:rPr>
          <w:sz w:val="22"/>
        </w:rPr>
        <w:t>competence as they transition from student to autonomous professiona</w:t>
      </w:r>
      <w:r w:rsidR="00B07093" w:rsidRPr="00CC3912">
        <w:rPr>
          <w:sz w:val="22"/>
        </w:rPr>
        <w:t>l</w:t>
      </w:r>
      <w:r w:rsidR="00B07093">
        <w:rPr>
          <w:sz w:val="22"/>
        </w:rPr>
        <w:t>’</w:t>
      </w:r>
      <w:r w:rsidR="00CC3912">
        <w:rPr>
          <w:sz w:val="22"/>
        </w:rPr>
        <w:t xml:space="preserve"> (National Preceptorship Project, 2022)</w:t>
      </w:r>
    </w:p>
    <w:p w14:paraId="4E4D220F" w14:textId="77777777" w:rsidR="00E311F3" w:rsidRPr="00F84032" w:rsidRDefault="00E311F3" w:rsidP="00E311F3">
      <w:pPr>
        <w:spacing w:after="0"/>
        <w:rPr>
          <w:sz w:val="22"/>
        </w:rPr>
      </w:pPr>
    </w:p>
    <w:p w14:paraId="7BB97843" w14:textId="705C5985" w:rsidR="00E311F3" w:rsidRPr="00F84032" w:rsidRDefault="00E311F3" w:rsidP="00E311F3">
      <w:pPr>
        <w:spacing w:after="0"/>
        <w:rPr>
          <w:sz w:val="22"/>
        </w:rPr>
      </w:pPr>
      <w:r w:rsidRPr="00F84032">
        <w:rPr>
          <w:sz w:val="22"/>
        </w:rPr>
        <w:t xml:space="preserve">The requirement in principle for preceptorship in nursing and midwifery was first set out as part of the UKCC (now Nursing and Midwifery Council) proposal for Project 2000 in1986. In 2008 the NHS Next Stage Review emphasised the necessity for a period of preceptorship for all newly registered healthcare staff, including nurses (Department of Health, 2008) and a framework for preceptorship was subsequently published (Department of Health, 2010). Since </w:t>
      </w:r>
      <w:proofErr w:type="gramStart"/>
      <w:r w:rsidRPr="00F84032">
        <w:rPr>
          <w:sz w:val="22"/>
        </w:rPr>
        <w:t>then</w:t>
      </w:r>
      <w:proofErr w:type="gramEnd"/>
      <w:r w:rsidRPr="00F84032">
        <w:rPr>
          <w:sz w:val="22"/>
        </w:rPr>
        <w:t xml:space="preserve"> there has been sporadic non-recurrent funding to employers, from strategic health authorities and Health Education England (HEE), to invest in preceptorship. The value of preceptorship was reiterated in</w:t>
      </w:r>
      <w:r w:rsidR="0000065A">
        <w:rPr>
          <w:sz w:val="22"/>
        </w:rPr>
        <w:t xml:space="preserve"> the Nursing and Midwifery Council’s (NMC)</w:t>
      </w:r>
      <w:r w:rsidRPr="00F84032">
        <w:rPr>
          <w:sz w:val="22"/>
        </w:rPr>
        <w:t xml:space="preserve"> </w:t>
      </w:r>
      <w:r w:rsidR="0000065A">
        <w:rPr>
          <w:sz w:val="22"/>
        </w:rPr>
        <w:t>recently published principles of preceptorship 2020</w:t>
      </w:r>
      <w:r w:rsidR="00AE644D">
        <w:rPr>
          <w:sz w:val="22"/>
        </w:rPr>
        <w:t xml:space="preserve">, which was developed </w:t>
      </w:r>
      <w:r w:rsidR="00AE644D" w:rsidRPr="00AE644D">
        <w:rPr>
          <w:sz w:val="22"/>
        </w:rPr>
        <w:t>in collaboration with the Chief Nursing Officers, the Chief Midwifery Officer in England and Scotland and the Lead officers for midwifery in Northern Ireland and Wales</w:t>
      </w:r>
      <w:r w:rsidR="00AE644D">
        <w:rPr>
          <w:sz w:val="22"/>
        </w:rPr>
        <w:t>.</w:t>
      </w:r>
      <w:r w:rsidRPr="00F84032">
        <w:rPr>
          <w:sz w:val="22"/>
        </w:rPr>
        <w:t xml:space="preserve"> </w:t>
      </w:r>
    </w:p>
    <w:p w14:paraId="752F1C10" w14:textId="77777777" w:rsidR="00E311F3" w:rsidRPr="00F84032" w:rsidRDefault="00E311F3" w:rsidP="00E311F3">
      <w:pPr>
        <w:spacing w:after="0"/>
        <w:rPr>
          <w:sz w:val="22"/>
        </w:rPr>
      </w:pPr>
    </w:p>
    <w:p w14:paraId="378C3FE0" w14:textId="08B5DC82" w:rsidR="00E311F3" w:rsidRPr="00F84032" w:rsidRDefault="00E311F3" w:rsidP="00E311F3">
      <w:pPr>
        <w:rPr>
          <w:sz w:val="22"/>
        </w:rPr>
      </w:pPr>
      <w:r w:rsidRPr="00F84032">
        <w:rPr>
          <w:sz w:val="22"/>
        </w:rPr>
        <w:t>Preceptorship occurs within the first year of qualification and is focused on easing the transition from student to registered practitioner. It is intended to be facilitative and enabling. It is not basic induction and mandatory training, a substitute for performance management processes or simply a distance or e-learning for a newly registered practitioner to complete in isolation.</w:t>
      </w:r>
    </w:p>
    <w:p w14:paraId="509168D3" w14:textId="756F4E6D" w:rsidR="00912634" w:rsidRDefault="00E311F3" w:rsidP="00E311F3">
      <w:pPr>
        <w:rPr>
          <w:sz w:val="22"/>
        </w:rPr>
      </w:pPr>
      <w:r w:rsidRPr="00F84032">
        <w:rPr>
          <w:sz w:val="22"/>
        </w:rPr>
        <w:lastRenderedPageBreak/>
        <w:t xml:space="preserve">Potential benefits of preceptorship for new registrants include developing confidence, positive socialisation into the working environment, increased job satisfaction, feeling valued, </w:t>
      </w:r>
      <w:proofErr w:type="gramStart"/>
      <w:r w:rsidRPr="00F84032">
        <w:rPr>
          <w:sz w:val="22"/>
        </w:rPr>
        <w:t>respected</w:t>
      </w:r>
      <w:proofErr w:type="gramEnd"/>
      <w:r w:rsidRPr="00F84032">
        <w:rPr>
          <w:sz w:val="22"/>
        </w:rPr>
        <w:t xml:space="preserve"> and invested in by their employer, increased commitment to the employer and profession - all of which are linked to patient satisfaction, quality of care, retention and enhanced recruitment. Those supporting new registrants (the preceptor or preceptorship programme lead) are also likely to feel positive about their </w:t>
      </w:r>
      <w:proofErr w:type="gramStart"/>
      <w:r w:rsidRPr="00F84032">
        <w:rPr>
          <w:sz w:val="22"/>
        </w:rPr>
        <w:t>work place</w:t>
      </w:r>
      <w:proofErr w:type="gramEnd"/>
      <w:r w:rsidRPr="00F84032">
        <w:rPr>
          <w:sz w:val="22"/>
        </w:rPr>
        <w:t xml:space="preserve"> as it is supportive, and they are able to develop others.</w:t>
      </w:r>
    </w:p>
    <w:p w14:paraId="58B67627" w14:textId="0C1D0690" w:rsidR="00E311F3" w:rsidRPr="00F84032" w:rsidRDefault="00E311F3" w:rsidP="00E311F3">
      <w:pPr>
        <w:rPr>
          <w:color w:val="0070C0"/>
          <w:sz w:val="28"/>
          <w:szCs w:val="28"/>
        </w:rPr>
      </w:pPr>
      <w:r w:rsidRPr="00F84032">
        <w:rPr>
          <w:color w:val="0070C0"/>
          <w:sz w:val="28"/>
          <w:szCs w:val="28"/>
        </w:rPr>
        <w:t>What do employers need to have in place for good</w:t>
      </w:r>
      <w:r w:rsidR="00F84032" w:rsidRPr="00F84032">
        <w:rPr>
          <w:color w:val="0070C0"/>
          <w:sz w:val="28"/>
          <w:szCs w:val="28"/>
        </w:rPr>
        <w:t xml:space="preserve"> </w:t>
      </w:r>
      <w:r w:rsidRPr="00F84032">
        <w:rPr>
          <w:color w:val="0070C0"/>
          <w:sz w:val="28"/>
          <w:szCs w:val="28"/>
        </w:rPr>
        <w:t>Preceptorship?</w:t>
      </w:r>
    </w:p>
    <w:p w14:paraId="20564F5D" w14:textId="77777777" w:rsidR="00E311F3" w:rsidRPr="00F84032" w:rsidRDefault="00E311F3" w:rsidP="00E311F3">
      <w:pPr>
        <w:spacing w:after="0"/>
        <w:rPr>
          <w:sz w:val="22"/>
        </w:rPr>
      </w:pPr>
      <w:r w:rsidRPr="00F84032">
        <w:rPr>
          <w:sz w:val="22"/>
        </w:rPr>
        <w:t>Based on international evidence and our experience over the past five years, it is</w:t>
      </w:r>
    </w:p>
    <w:p w14:paraId="2A2F5E5B" w14:textId="77777777" w:rsidR="00E311F3" w:rsidRPr="00F84032" w:rsidRDefault="00E311F3" w:rsidP="00E311F3">
      <w:pPr>
        <w:spacing w:after="0"/>
        <w:rPr>
          <w:sz w:val="22"/>
        </w:rPr>
      </w:pPr>
      <w:r w:rsidRPr="00F84032">
        <w:rPr>
          <w:sz w:val="22"/>
        </w:rPr>
        <w:t>recommended that employers should have a programme in place that meets the</w:t>
      </w:r>
    </w:p>
    <w:p w14:paraId="18606AAC" w14:textId="6A42B10B" w:rsidR="00E311F3" w:rsidRPr="00F84032" w:rsidRDefault="00E311F3" w:rsidP="00E311F3">
      <w:pPr>
        <w:spacing w:after="0"/>
        <w:rPr>
          <w:sz w:val="22"/>
        </w:rPr>
      </w:pPr>
      <w:r w:rsidRPr="00F84032">
        <w:rPr>
          <w:sz w:val="22"/>
        </w:rPr>
        <w:t xml:space="preserve">standards and guidance set out in the </w:t>
      </w:r>
      <w:r w:rsidR="00AE16EB">
        <w:rPr>
          <w:sz w:val="22"/>
        </w:rPr>
        <w:t>National Framework.</w:t>
      </w:r>
    </w:p>
    <w:p w14:paraId="2551C645" w14:textId="77777777" w:rsidR="00AE644D" w:rsidRDefault="00AE644D" w:rsidP="00E311F3">
      <w:pPr>
        <w:spacing w:after="0"/>
        <w:rPr>
          <w:sz w:val="22"/>
        </w:rPr>
      </w:pPr>
    </w:p>
    <w:p w14:paraId="45E918E2" w14:textId="21E33AC1" w:rsidR="00E311F3" w:rsidRPr="00F84032" w:rsidRDefault="00E311F3" w:rsidP="00E311F3">
      <w:pPr>
        <w:spacing w:after="0"/>
        <w:rPr>
          <w:sz w:val="22"/>
        </w:rPr>
      </w:pPr>
      <w:r w:rsidRPr="00F84032">
        <w:rPr>
          <w:sz w:val="22"/>
        </w:rPr>
        <w:t>This includes:</w:t>
      </w:r>
    </w:p>
    <w:p w14:paraId="1A6C6C1F" w14:textId="77777777" w:rsidR="00E311F3" w:rsidRPr="00F84032" w:rsidRDefault="00E311F3" w:rsidP="00E311F3">
      <w:pPr>
        <w:pStyle w:val="ListParagraph"/>
        <w:numPr>
          <w:ilvl w:val="0"/>
          <w:numId w:val="5"/>
        </w:numPr>
        <w:spacing w:after="0"/>
        <w:rPr>
          <w:rFonts w:eastAsiaTheme="minorHAnsi"/>
          <w:sz w:val="22"/>
          <w:szCs w:val="22"/>
          <w:lang w:val="en-GB"/>
        </w:rPr>
      </w:pPr>
      <w:r w:rsidRPr="00F84032">
        <w:rPr>
          <w:rFonts w:eastAsiaTheme="minorHAnsi"/>
          <w:sz w:val="22"/>
          <w:szCs w:val="22"/>
          <w:lang w:val="en-GB"/>
        </w:rPr>
        <w:t>A trust preceptorship policy and an organisational lead for preceptorship</w:t>
      </w:r>
    </w:p>
    <w:p w14:paraId="4C7CA8D1" w14:textId="40752461" w:rsidR="00E311F3" w:rsidRPr="00F84032" w:rsidRDefault="00E311F3" w:rsidP="00E311F3">
      <w:pPr>
        <w:pStyle w:val="ListParagraph"/>
        <w:numPr>
          <w:ilvl w:val="0"/>
          <w:numId w:val="5"/>
        </w:numPr>
        <w:spacing w:after="0"/>
        <w:rPr>
          <w:rFonts w:eastAsiaTheme="minorHAnsi"/>
          <w:sz w:val="22"/>
          <w:szCs w:val="22"/>
          <w:lang w:val="en-GB"/>
        </w:rPr>
      </w:pPr>
      <w:r w:rsidRPr="00F84032">
        <w:rPr>
          <w:rFonts w:eastAsiaTheme="minorHAnsi"/>
          <w:sz w:val="22"/>
          <w:szCs w:val="22"/>
          <w:lang w:val="en-GB"/>
        </w:rPr>
        <w:t xml:space="preserve">Defined roles for preceptor, preceptee and </w:t>
      </w:r>
      <w:r w:rsidR="00B07093">
        <w:rPr>
          <w:rFonts w:eastAsiaTheme="minorHAnsi"/>
          <w:sz w:val="22"/>
          <w:szCs w:val="22"/>
          <w:lang w:val="en-GB"/>
        </w:rPr>
        <w:t xml:space="preserve">preceptorship </w:t>
      </w:r>
      <w:r w:rsidRPr="00F84032">
        <w:rPr>
          <w:rFonts w:eastAsiaTheme="minorHAnsi"/>
          <w:sz w:val="22"/>
          <w:szCs w:val="22"/>
          <w:lang w:val="en-GB"/>
        </w:rPr>
        <w:t>lead</w:t>
      </w:r>
    </w:p>
    <w:p w14:paraId="656545AC" w14:textId="77777777" w:rsidR="00E311F3" w:rsidRPr="00F84032" w:rsidRDefault="00E311F3" w:rsidP="00E311F3">
      <w:pPr>
        <w:pStyle w:val="ListParagraph"/>
        <w:numPr>
          <w:ilvl w:val="0"/>
          <w:numId w:val="5"/>
        </w:numPr>
        <w:spacing w:after="0"/>
        <w:rPr>
          <w:rFonts w:eastAsiaTheme="minorHAnsi"/>
          <w:sz w:val="22"/>
          <w:szCs w:val="22"/>
          <w:lang w:val="en-GB"/>
        </w:rPr>
      </w:pPr>
      <w:r w:rsidRPr="00F84032">
        <w:rPr>
          <w:rFonts w:eastAsiaTheme="minorHAnsi"/>
          <w:sz w:val="22"/>
          <w:szCs w:val="22"/>
          <w:lang w:val="en-GB"/>
        </w:rPr>
        <w:t>A structured preceptorship programme that has been agreed by the Executive Nurse</w:t>
      </w:r>
    </w:p>
    <w:p w14:paraId="792EB8F7" w14:textId="77777777" w:rsidR="00E311F3" w:rsidRPr="00F84032" w:rsidRDefault="00E311F3" w:rsidP="00E311F3">
      <w:pPr>
        <w:pStyle w:val="ListParagraph"/>
        <w:numPr>
          <w:ilvl w:val="0"/>
          <w:numId w:val="5"/>
        </w:numPr>
        <w:spacing w:after="0"/>
        <w:rPr>
          <w:rFonts w:eastAsiaTheme="minorHAnsi"/>
          <w:sz w:val="22"/>
          <w:szCs w:val="22"/>
          <w:lang w:val="en-GB"/>
        </w:rPr>
      </w:pPr>
      <w:r w:rsidRPr="00F84032">
        <w:rPr>
          <w:rFonts w:eastAsiaTheme="minorHAnsi"/>
          <w:sz w:val="22"/>
          <w:szCs w:val="22"/>
          <w:lang w:val="en-GB"/>
        </w:rPr>
        <w:t>Protected time for preceptorship activities including a minimum initial supernumerary programme</w:t>
      </w:r>
    </w:p>
    <w:p w14:paraId="107AC1A3" w14:textId="527D324F" w:rsidR="00E311F3" w:rsidRPr="00F84032" w:rsidRDefault="00E311F3" w:rsidP="00E311F3">
      <w:pPr>
        <w:pStyle w:val="ListParagraph"/>
        <w:numPr>
          <w:ilvl w:val="0"/>
          <w:numId w:val="5"/>
        </w:numPr>
        <w:spacing w:after="0"/>
        <w:rPr>
          <w:rFonts w:eastAsiaTheme="minorHAnsi"/>
          <w:sz w:val="22"/>
          <w:szCs w:val="22"/>
          <w:lang w:val="en-GB"/>
        </w:rPr>
      </w:pPr>
      <w:r w:rsidRPr="00F84032">
        <w:rPr>
          <w:rFonts w:eastAsiaTheme="minorHAnsi"/>
          <w:sz w:val="22"/>
          <w:szCs w:val="22"/>
          <w:lang w:val="en-GB"/>
        </w:rPr>
        <w:t>Compliance with HEE Standards (2015)</w:t>
      </w:r>
      <w:r w:rsidR="00B07093">
        <w:rPr>
          <w:rFonts w:eastAsiaTheme="minorHAnsi"/>
          <w:sz w:val="22"/>
          <w:szCs w:val="22"/>
          <w:lang w:val="en-GB"/>
        </w:rPr>
        <w:t xml:space="preserve">, </w:t>
      </w:r>
      <w:r w:rsidRPr="00F84032">
        <w:rPr>
          <w:rFonts w:eastAsiaTheme="minorHAnsi"/>
          <w:sz w:val="22"/>
          <w:szCs w:val="22"/>
          <w:lang w:val="en-GB"/>
        </w:rPr>
        <w:t>NMC Principles of Preceptorship (2020)</w:t>
      </w:r>
      <w:r w:rsidR="00CC3912">
        <w:rPr>
          <w:rFonts w:eastAsiaTheme="minorHAnsi"/>
          <w:sz w:val="22"/>
          <w:szCs w:val="22"/>
          <w:lang w:val="en-GB"/>
        </w:rPr>
        <w:t xml:space="preserve"> and National Preceptorship Framework (2022)</w:t>
      </w:r>
    </w:p>
    <w:p w14:paraId="0A707EE8" w14:textId="141026AF" w:rsidR="00E311F3" w:rsidRDefault="00B07093" w:rsidP="00E311F3">
      <w:pPr>
        <w:pStyle w:val="ListParagraph"/>
        <w:numPr>
          <w:ilvl w:val="0"/>
          <w:numId w:val="5"/>
        </w:numPr>
        <w:spacing w:after="0"/>
        <w:rPr>
          <w:rFonts w:eastAsiaTheme="minorHAnsi"/>
          <w:sz w:val="22"/>
          <w:szCs w:val="22"/>
          <w:lang w:val="en-GB"/>
        </w:rPr>
      </w:pPr>
      <w:r>
        <w:rPr>
          <w:rFonts w:eastAsiaTheme="minorHAnsi"/>
          <w:sz w:val="22"/>
          <w:szCs w:val="22"/>
          <w:lang w:val="en-GB"/>
        </w:rPr>
        <w:t>Alignment</w:t>
      </w:r>
      <w:r w:rsidR="00E311F3" w:rsidRPr="00F84032">
        <w:rPr>
          <w:rFonts w:eastAsiaTheme="minorHAnsi"/>
          <w:sz w:val="22"/>
          <w:szCs w:val="22"/>
          <w:lang w:val="en-GB"/>
        </w:rPr>
        <w:t xml:space="preserve"> with the organisational appraisal framework.</w:t>
      </w:r>
    </w:p>
    <w:p w14:paraId="27F38837" w14:textId="77777777" w:rsidR="00912634" w:rsidRPr="00912634" w:rsidRDefault="00912634" w:rsidP="00912634">
      <w:pPr>
        <w:pStyle w:val="ListParagraph"/>
        <w:numPr>
          <w:ilvl w:val="0"/>
          <w:numId w:val="0"/>
        </w:numPr>
        <w:spacing w:after="0"/>
        <w:ind w:left="720"/>
        <w:rPr>
          <w:rFonts w:eastAsiaTheme="minorHAnsi"/>
          <w:sz w:val="22"/>
          <w:szCs w:val="22"/>
          <w:lang w:val="en-GB"/>
        </w:rPr>
      </w:pPr>
    </w:p>
    <w:p w14:paraId="18C1481A" w14:textId="146C9239" w:rsidR="00E311F3" w:rsidRPr="00F84032" w:rsidRDefault="00E311F3" w:rsidP="00E311F3">
      <w:pPr>
        <w:rPr>
          <w:color w:val="0070C0"/>
          <w:sz w:val="28"/>
          <w:szCs w:val="28"/>
        </w:rPr>
      </w:pPr>
      <w:r w:rsidRPr="00F84032">
        <w:rPr>
          <w:color w:val="0070C0"/>
          <w:sz w:val="28"/>
          <w:szCs w:val="28"/>
        </w:rPr>
        <w:t>Example costings for preceptorship</w:t>
      </w:r>
      <w:r w:rsidR="00B07093">
        <w:rPr>
          <w:color w:val="0070C0"/>
          <w:sz w:val="28"/>
          <w:szCs w:val="28"/>
        </w:rPr>
        <w:t xml:space="preserve"> in NHS</w:t>
      </w:r>
    </w:p>
    <w:p w14:paraId="7498AAB1" w14:textId="32E2088B" w:rsidR="00E311F3" w:rsidRDefault="00E311F3" w:rsidP="00E311F3">
      <w:pPr>
        <w:spacing w:after="0"/>
        <w:rPr>
          <w:sz w:val="22"/>
        </w:rPr>
      </w:pPr>
      <w:r w:rsidRPr="00F84032">
        <w:rPr>
          <w:color w:val="000000" w:themeColor="text1"/>
          <w:sz w:val="22"/>
        </w:rPr>
        <w:t>Example costings for preceptorship, based on a cohort of 100 new</w:t>
      </w:r>
      <w:r w:rsidR="00B07093">
        <w:rPr>
          <w:color w:val="000000" w:themeColor="text1"/>
          <w:sz w:val="22"/>
        </w:rPr>
        <w:t>ly</w:t>
      </w:r>
      <w:r w:rsidRPr="00F84032">
        <w:rPr>
          <w:color w:val="000000" w:themeColor="text1"/>
          <w:sz w:val="22"/>
        </w:rPr>
        <w:t xml:space="preserve"> registered nurses, are set out below. These example costings are based on information we have about existing programmes. These are indicative and will vary depending on your organisation’s individual model (it is accepted that this example may not be reflective of some smaller organisations</w:t>
      </w:r>
      <w:r w:rsidRPr="00F84032">
        <w:rPr>
          <w:sz w:val="22"/>
        </w:rPr>
        <w:t>).</w:t>
      </w:r>
      <w:r w:rsidR="00B07093">
        <w:rPr>
          <w:sz w:val="22"/>
        </w:rPr>
        <w:t xml:space="preserve"> The figures below also indicate additional allowances for London (inner, outer and fringe).</w:t>
      </w:r>
    </w:p>
    <w:p w14:paraId="5993E067" w14:textId="2C6C9BB9" w:rsidR="00497560" w:rsidRDefault="00497560">
      <w:pPr>
        <w:rPr>
          <w:sz w:val="22"/>
        </w:rPr>
      </w:pPr>
      <w:r>
        <w:rPr>
          <w:sz w:val="22"/>
        </w:rPr>
        <w:br w:type="page"/>
      </w:r>
    </w:p>
    <w:p w14:paraId="5D9ECFD6" w14:textId="77777777" w:rsidR="00E311F3" w:rsidRPr="00F84032" w:rsidRDefault="00E311F3" w:rsidP="00E311F3">
      <w:pPr>
        <w:spacing w:after="0"/>
        <w:rPr>
          <w:sz w:val="22"/>
        </w:rPr>
      </w:pPr>
    </w:p>
    <w:p w14:paraId="7EEF5BFA" w14:textId="67CCE0D1" w:rsidR="00E12C9E" w:rsidRPr="00911B79" w:rsidRDefault="0063195C" w:rsidP="00E311F3">
      <w:pPr>
        <w:rPr>
          <w:color w:val="0070C0"/>
          <w:szCs w:val="24"/>
        </w:rPr>
      </w:pPr>
      <w:r>
        <w:rPr>
          <w:color w:val="0070C0"/>
          <w:szCs w:val="24"/>
        </w:rPr>
        <w:t xml:space="preserve">Table 1: </w:t>
      </w:r>
      <w:r w:rsidR="006A4399" w:rsidRPr="00911B79">
        <w:rPr>
          <w:color w:val="0070C0"/>
          <w:szCs w:val="24"/>
        </w:rPr>
        <w:t>Basic salary costing</w:t>
      </w:r>
    </w:p>
    <w:tbl>
      <w:tblPr>
        <w:tblW w:w="9771" w:type="dxa"/>
        <w:tblLook w:val="04A0" w:firstRow="1" w:lastRow="0" w:firstColumn="1" w:lastColumn="0" w:noHBand="0" w:noVBand="1"/>
      </w:tblPr>
      <w:tblGrid>
        <w:gridCol w:w="1985"/>
        <w:gridCol w:w="1974"/>
        <w:gridCol w:w="1418"/>
        <w:gridCol w:w="1417"/>
        <w:gridCol w:w="1560"/>
        <w:gridCol w:w="1417"/>
      </w:tblGrid>
      <w:tr w:rsidR="00F74B2D" w:rsidRPr="00F74B2D" w14:paraId="17CC4647" w14:textId="77777777" w:rsidTr="00C01725">
        <w:trPr>
          <w:trHeight w:val="507"/>
        </w:trPr>
        <w:tc>
          <w:tcPr>
            <w:tcW w:w="1985" w:type="dxa"/>
            <w:vMerge w:val="restart"/>
            <w:tcBorders>
              <w:top w:val="single" w:sz="8" w:space="0" w:color="auto"/>
              <w:left w:val="single" w:sz="8" w:space="0" w:color="auto"/>
              <w:bottom w:val="single" w:sz="8" w:space="0" w:color="000000"/>
              <w:right w:val="single" w:sz="8" w:space="0" w:color="auto"/>
            </w:tcBorders>
            <w:shd w:val="clear" w:color="000000" w:fill="0070C0"/>
            <w:vAlign w:val="center"/>
            <w:hideMark/>
          </w:tcPr>
          <w:p w14:paraId="08EE6627" w14:textId="77777777" w:rsidR="00F74B2D" w:rsidRPr="00225C54" w:rsidRDefault="00F74B2D" w:rsidP="00F74B2D">
            <w:pPr>
              <w:spacing w:after="0" w:line="240" w:lineRule="auto"/>
              <w:rPr>
                <w:rFonts w:eastAsia="Times New Roman" w:cs="Arial"/>
                <w:color w:val="FFFFFF"/>
                <w:sz w:val="20"/>
                <w:szCs w:val="20"/>
                <w:lang w:eastAsia="en-GB"/>
              </w:rPr>
            </w:pPr>
            <w:r w:rsidRPr="00225C54">
              <w:rPr>
                <w:rFonts w:eastAsia="Times New Roman" w:cs="Arial"/>
                <w:color w:val="FFFFFF"/>
                <w:sz w:val="20"/>
                <w:szCs w:val="20"/>
                <w:lang w:eastAsia="en-GB"/>
              </w:rPr>
              <w:t>Activity</w:t>
            </w:r>
          </w:p>
        </w:tc>
        <w:tc>
          <w:tcPr>
            <w:tcW w:w="1974" w:type="dxa"/>
            <w:tcBorders>
              <w:top w:val="single" w:sz="8" w:space="0" w:color="auto"/>
              <w:left w:val="nil"/>
              <w:bottom w:val="nil"/>
              <w:right w:val="single" w:sz="8" w:space="0" w:color="auto"/>
            </w:tcBorders>
            <w:shd w:val="clear" w:color="000000" w:fill="0070C0"/>
            <w:vAlign w:val="center"/>
            <w:hideMark/>
          </w:tcPr>
          <w:p w14:paraId="3CD19A52" w14:textId="77777777" w:rsidR="00F74B2D" w:rsidRPr="00225C54" w:rsidRDefault="00F74B2D" w:rsidP="00F74B2D">
            <w:pPr>
              <w:spacing w:after="0" w:line="240" w:lineRule="auto"/>
              <w:rPr>
                <w:rFonts w:eastAsia="Times New Roman" w:cs="Arial"/>
                <w:color w:val="FFFFFF"/>
                <w:sz w:val="20"/>
                <w:szCs w:val="20"/>
                <w:lang w:eastAsia="en-GB"/>
              </w:rPr>
            </w:pPr>
            <w:r w:rsidRPr="00225C54">
              <w:rPr>
                <w:rFonts w:eastAsia="Times New Roman" w:cs="Arial"/>
                <w:color w:val="FFFFFF"/>
                <w:sz w:val="20"/>
                <w:szCs w:val="20"/>
                <w:lang w:eastAsia="en-GB"/>
              </w:rPr>
              <w:t>Cost – based on 100 Newly</w:t>
            </w:r>
          </w:p>
        </w:tc>
        <w:tc>
          <w:tcPr>
            <w:tcW w:w="1418" w:type="dxa"/>
            <w:tcBorders>
              <w:top w:val="single" w:sz="8" w:space="0" w:color="auto"/>
              <w:left w:val="nil"/>
              <w:bottom w:val="nil"/>
              <w:right w:val="single" w:sz="8" w:space="0" w:color="auto"/>
            </w:tcBorders>
            <w:shd w:val="clear" w:color="000000" w:fill="0070C0"/>
            <w:vAlign w:val="center"/>
            <w:hideMark/>
          </w:tcPr>
          <w:p w14:paraId="501A1671"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 xml:space="preserve">No </w:t>
            </w:r>
            <w:proofErr w:type="gramStart"/>
            <w:r w:rsidRPr="00225C54">
              <w:rPr>
                <w:rFonts w:eastAsia="Times New Roman" w:cs="Arial"/>
                <w:color w:val="FFFFFF"/>
                <w:sz w:val="20"/>
                <w:szCs w:val="20"/>
                <w:lang w:eastAsia="en-GB"/>
              </w:rPr>
              <w:t>high cost</w:t>
            </w:r>
            <w:proofErr w:type="gramEnd"/>
            <w:r w:rsidRPr="00225C54">
              <w:rPr>
                <w:rFonts w:eastAsia="Times New Roman" w:cs="Arial"/>
                <w:color w:val="FFFFFF"/>
                <w:sz w:val="20"/>
                <w:szCs w:val="20"/>
                <w:lang w:eastAsia="en-GB"/>
              </w:rPr>
              <w:t xml:space="preserve"> allowance</w:t>
            </w:r>
          </w:p>
        </w:tc>
        <w:tc>
          <w:tcPr>
            <w:tcW w:w="1417" w:type="dxa"/>
            <w:tcBorders>
              <w:top w:val="single" w:sz="8" w:space="0" w:color="auto"/>
              <w:left w:val="nil"/>
              <w:bottom w:val="nil"/>
              <w:right w:val="single" w:sz="8" w:space="0" w:color="auto"/>
            </w:tcBorders>
            <w:shd w:val="clear" w:color="000000" w:fill="0070C0"/>
            <w:vAlign w:val="center"/>
            <w:hideMark/>
          </w:tcPr>
          <w:p w14:paraId="13DBD5BB"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Inner</w:t>
            </w:r>
          </w:p>
        </w:tc>
        <w:tc>
          <w:tcPr>
            <w:tcW w:w="1560" w:type="dxa"/>
            <w:tcBorders>
              <w:top w:val="single" w:sz="8" w:space="0" w:color="auto"/>
              <w:left w:val="nil"/>
              <w:bottom w:val="nil"/>
              <w:right w:val="single" w:sz="8" w:space="0" w:color="auto"/>
            </w:tcBorders>
            <w:shd w:val="clear" w:color="000000" w:fill="0070C0"/>
            <w:vAlign w:val="center"/>
            <w:hideMark/>
          </w:tcPr>
          <w:p w14:paraId="73A310E4"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Outer</w:t>
            </w:r>
          </w:p>
        </w:tc>
        <w:tc>
          <w:tcPr>
            <w:tcW w:w="1417" w:type="dxa"/>
            <w:tcBorders>
              <w:top w:val="single" w:sz="8" w:space="0" w:color="auto"/>
              <w:left w:val="nil"/>
              <w:bottom w:val="nil"/>
              <w:right w:val="single" w:sz="8" w:space="0" w:color="auto"/>
            </w:tcBorders>
            <w:shd w:val="clear" w:color="000000" w:fill="0070C0"/>
            <w:vAlign w:val="center"/>
            <w:hideMark/>
          </w:tcPr>
          <w:p w14:paraId="51CBF03D" w14:textId="77777777" w:rsidR="00F74B2D" w:rsidRPr="00F74B2D" w:rsidRDefault="00F74B2D" w:rsidP="00F74B2D">
            <w:pPr>
              <w:spacing w:after="0" w:line="240" w:lineRule="auto"/>
              <w:jc w:val="center"/>
              <w:rPr>
                <w:rFonts w:eastAsia="Times New Roman" w:cs="Arial"/>
                <w:color w:val="FFFFFF"/>
                <w:sz w:val="22"/>
                <w:lang w:eastAsia="en-GB"/>
              </w:rPr>
            </w:pPr>
            <w:r w:rsidRPr="00F74B2D">
              <w:rPr>
                <w:rFonts w:eastAsia="Times New Roman" w:cs="Arial"/>
                <w:color w:val="FFFFFF"/>
                <w:sz w:val="22"/>
                <w:lang w:eastAsia="en-GB"/>
              </w:rPr>
              <w:t>Fringe</w:t>
            </w:r>
          </w:p>
        </w:tc>
      </w:tr>
      <w:tr w:rsidR="00F74B2D" w:rsidRPr="00F74B2D" w14:paraId="4FB8CE7E" w14:textId="77777777" w:rsidTr="00C01725">
        <w:trPr>
          <w:trHeight w:val="507"/>
        </w:trPr>
        <w:tc>
          <w:tcPr>
            <w:tcW w:w="1985" w:type="dxa"/>
            <w:vMerge/>
            <w:tcBorders>
              <w:top w:val="single" w:sz="8" w:space="0" w:color="auto"/>
              <w:left w:val="single" w:sz="8" w:space="0" w:color="auto"/>
              <w:bottom w:val="single" w:sz="8" w:space="0" w:color="000000"/>
              <w:right w:val="single" w:sz="8" w:space="0" w:color="auto"/>
            </w:tcBorders>
            <w:vAlign w:val="center"/>
            <w:hideMark/>
          </w:tcPr>
          <w:p w14:paraId="12B0DDC6" w14:textId="77777777" w:rsidR="00F74B2D" w:rsidRPr="00225C54" w:rsidRDefault="00F74B2D" w:rsidP="00F74B2D">
            <w:pPr>
              <w:spacing w:after="0" w:line="240" w:lineRule="auto"/>
              <w:rPr>
                <w:rFonts w:eastAsia="Times New Roman" w:cs="Arial"/>
                <w:color w:val="FFFFFF"/>
                <w:sz w:val="20"/>
                <w:szCs w:val="20"/>
                <w:lang w:eastAsia="en-GB"/>
              </w:rPr>
            </w:pPr>
          </w:p>
        </w:tc>
        <w:tc>
          <w:tcPr>
            <w:tcW w:w="1974" w:type="dxa"/>
            <w:tcBorders>
              <w:top w:val="nil"/>
              <w:left w:val="nil"/>
              <w:bottom w:val="single" w:sz="8" w:space="0" w:color="auto"/>
              <w:right w:val="single" w:sz="8" w:space="0" w:color="auto"/>
            </w:tcBorders>
            <w:shd w:val="clear" w:color="000000" w:fill="0070C0"/>
            <w:vAlign w:val="center"/>
            <w:hideMark/>
          </w:tcPr>
          <w:p w14:paraId="2638AF73" w14:textId="77777777" w:rsidR="00F74B2D" w:rsidRPr="00225C54" w:rsidRDefault="00F74B2D" w:rsidP="00F74B2D">
            <w:pPr>
              <w:spacing w:after="0" w:line="240" w:lineRule="auto"/>
              <w:rPr>
                <w:rFonts w:eastAsia="Times New Roman" w:cs="Arial"/>
                <w:color w:val="FFFFFF"/>
                <w:sz w:val="20"/>
                <w:szCs w:val="20"/>
                <w:lang w:eastAsia="en-GB"/>
              </w:rPr>
            </w:pPr>
            <w:r w:rsidRPr="00225C54">
              <w:rPr>
                <w:rFonts w:eastAsia="Times New Roman" w:cs="Arial"/>
                <w:color w:val="FFFFFF"/>
                <w:sz w:val="20"/>
                <w:szCs w:val="20"/>
                <w:lang w:eastAsia="en-GB"/>
              </w:rPr>
              <w:t>Registered Nurses</w:t>
            </w:r>
          </w:p>
        </w:tc>
        <w:tc>
          <w:tcPr>
            <w:tcW w:w="1418" w:type="dxa"/>
            <w:tcBorders>
              <w:top w:val="nil"/>
              <w:left w:val="nil"/>
              <w:bottom w:val="single" w:sz="8" w:space="0" w:color="auto"/>
              <w:right w:val="single" w:sz="8" w:space="0" w:color="auto"/>
            </w:tcBorders>
            <w:shd w:val="clear" w:color="000000" w:fill="0070C0"/>
            <w:vAlign w:val="center"/>
            <w:hideMark/>
          </w:tcPr>
          <w:p w14:paraId="67AFA34B"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 </w:t>
            </w:r>
          </w:p>
        </w:tc>
        <w:tc>
          <w:tcPr>
            <w:tcW w:w="1417" w:type="dxa"/>
            <w:tcBorders>
              <w:top w:val="nil"/>
              <w:left w:val="nil"/>
              <w:bottom w:val="single" w:sz="8" w:space="0" w:color="auto"/>
              <w:right w:val="single" w:sz="8" w:space="0" w:color="auto"/>
            </w:tcBorders>
            <w:shd w:val="clear" w:color="000000" w:fill="0070C0"/>
            <w:vAlign w:val="center"/>
            <w:hideMark/>
          </w:tcPr>
          <w:p w14:paraId="58187040"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 </w:t>
            </w:r>
          </w:p>
        </w:tc>
        <w:tc>
          <w:tcPr>
            <w:tcW w:w="1560" w:type="dxa"/>
            <w:tcBorders>
              <w:top w:val="nil"/>
              <w:left w:val="nil"/>
              <w:bottom w:val="single" w:sz="8" w:space="0" w:color="auto"/>
              <w:right w:val="single" w:sz="8" w:space="0" w:color="auto"/>
            </w:tcBorders>
            <w:shd w:val="clear" w:color="000000" w:fill="0070C0"/>
            <w:vAlign w:val="center"/>
            <w:hideMark/>
          </w:tcPr>
          <w:p w14:paraId="3C9738B1"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 </w:t>
            </w:r>
          </w:p>
        </w:tc>
        <w:tc>
          <w:tcPr>
            <w:tcW w:w="1417" w:type="dxa"/>
            <w:tcBorders>
              <w:top w:val="nil"/>
              <w:left w:val="nil"/>
              <w:bottom w:val="single" w:sz="8" w:space="0" w:color="auto"/>
              <w:right w:val="single" w:sz="8" w:space="0" w:color="auto"/>
            </w:tcBorders>
            <w:shd w:val="clear" w:color="000000" w:fill="0070C0"/>
            <w:vAlign w:val="center"/>
            <w:hideMark/>
          </w:tcPr>
          <w:p w14:paraId="1066B84B" w14:textId="77777777" w:rsidR="00F74B2D" w:rsidRPr="00F74B2D" w:rsidRDefault="00F74B2D" w:rsidP="00F74B2D">
            <w:pPr>
              <w:spacing w:after="0" w:line="240" w:lineRule="auto"/>
              <w:jc w:val="center"/>
              <w:rPr>
                <w:rFonts w:eastAsia="Times New Roman" w:cs="Arial"/>
                <w:color w:val="FFFFFF"/>
                <w:sz w:val="22"/>
                <w:lang w:eastAsia="en-GB"/>
              </w:rPr>
            </w:pPr>
            <w:r w:rsidRPr="00F74B2D">
              <w:rPr>
                <w:rFonts w:eastAsia="Times New Roman" w:cs="Arial"/>
                <w:color w:val="FFFFFF"/>
                <w:sz w:val="22"/>
                <w:lang w:eastAsia="en-GB"/>
              </w:rPr>
              <w:t> </w:t>
            </w:r>
          </w:p>
        </w:tc>
      </w:tr>
      <w:tr w:rsidR="00F74B2D" w:rsidRPr="00F74B2D" w14:paraId="08826D67" w14:textId="77777777" w:rsidTr="00C01725">
        <w:trPr>
          <w:trHeight w:val="671"/>
        </w:trPr>
        <w:tc>
          <w:tcPr>
            <w:tcW w:w="1985" w:type="dxa"/>
            <w:tcBorders>
              <w:top w:val="nil"/>
              <w:left w:val="single" w:sz="8" w:space="0" w:color="auto"/>
              <w:bottom w:val="single" w:sz="8" w:space="0" w:color="auto"/>
              <w:right w:val="single" w:sz="8" w:space="0" w:color="auto"/>
            </w:tcBorders>
            <w:shd w:val="clear" w:color="000000" w:fill="0070C0"/>
            <w:vAlign w:val="center"/>
            <w:hideMark/>
          </w:tcPr>
          <w:p w14:paraId="7FD688EB" w14:textId="77777777" w:rsidR="00F74B2D" w:rsidRPr="00225C54" w:rsidRDefault="00F74B2D" w:rsidP="00F74B2D">
            <w:pPr>
              <w:spacing w:after="0" w:line="240" w:lineRule="auto"/>
              <w:rPr>
                <w:rFonts w:eastAsia="Times New Roman" w:cs="Arial"/>
                <w:color w:val="FFFFFF"/>
                <w:sz w:val="20"/>
                <w:szCs w:val="20"/>
                <w:lang w:eastAsia="en-GB"/>
              </w:rPr>
            </w:pPr>
            <w:r w:rsidRPr="00225C54">
              <w:rPr>
                <w:rFonts w:eastAsia="Times New Roman" w:cs="Arial"/>
                <w:color w:val="FFFFFF"/>
                <w:sz w:val="20"/>
                <w:szCs w:val="20"/>
                <w:lang w:eastAsia="en-GB"/>
              </w:rPr>
              <w:t> </w:t>
            </w:r>
          </w:p>
        </w:tc>
        <w:tc>
          <w:tcPr>
            <w:tcW w:w="1974" w:type="dxa"/>
            <w:tcBorders>
              <w:top w:val="nil"/>
              <w:left w:val="nil"/>
              <w:bottom w:val="single" w:sz="8" w:space="0" w:color="auto"/>
              <w:right w:val="single" w:sz="8" w:space="0" w:color="auto"/>
            </w:tcBorders>
            <w:shd w:val="clear" w:color="000000" w:fill="0070C0"/>
            <w:vAlign w:val="center"/>
            <w:hideMark/>
          </w:tcPr>
          <w:p w14:paraId="644F94B5" w14:textId="77777777" w:rsidR="00F74B2D" w:rsidRPr="00225C54" w:rsidRDefault="00F74B2D" w:rsidP="00F74B2D">
            <w:pPr>
              <w:spacing w:after="0" w:line="240" w:lineRule="auto"/>
              <w:rPr>
                <w:rFonts w:eastAsia="Times New Roman" w:cs="Arial"/>
                <w:color w:val="FFFFFF"/>
                <w:sz w:val="20"/>
                <w:szCs w:val="20"/>
                <w:lang w:eastAsia="en-GB"/>
              </w:rPr>
            </w:pPr>
            <w:r w:rsidRPr="00225C54">
              <w:rPr>
                <w:rFonts w:eastAsia="Times New Roman" w:cs="Arial"/>
                <w:color w:val="FFFFFF"/>
                <w:sz w:val="20"/>
                <w:szCs w:val="20"/>
                <w:lang w:eastAsia="en-GB"/>
              </w:rPr>
              <w:t> </w:t>
            </w:r>
          </w:p>
        </w:tc>
        <w:tc>
          <w:tcPr>
            <w:tcW w:w="1418" w:type="dxa"/>
            <w:tcBorders>
              <w:top w:val="nil"/>
              <w:left w:val="nil"/>
              <w:bottom w:val="single" w:sz="8" w:space="0" w:color="auto"/>
              <w:right w:val="single" w:sz="8" w:space="0" w:color="auto"/>
            </w:tcBorders>
            <w:shd w:val="clear" w:color="000000" w:fill="0070C0"/>
            <w:vAlign w:val="center"/>
            <w:hideMark/>
          </w:tcPr>
          <w:p w14:paraId="5C08CEFA"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Basic with pension and NI</w:t>
            </w:r>
          </w:p>
        </w:tc>
        <w:tc>
          <w:tcPr>
            <w:tcW w:w="1417" w:type="dxa"/>
            <w:tcBorders>
              <w:top w:val="nil"/>
              <w:left w:val="nil"/>
              <w:bottom w:val="single" w:sz="8" w:space="0" w:color="auto"/>
              <w:right w:val="single" w:sz="8" w:space="0" w:color="auto"/>
            </w:tcBorders>
            <w:shd w:val="clear" w:color="000000" w:fill="0070C0"/>
            <w:vAlign w:val="center"/>
            <w:hideMark/>
          </w:tcPr>
          <w:p w14:paraId="58F923E3"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20% of basic salary</w:t>
            </w:r>
          </w:p>
        </w:tc>
        <w:tc>
          <w:tcPr>
            <w:tcW w:w="1560" w:type="dxa"/>
            <w:tcBorders>
              <w:top w:val="nil"/>
              <w:left w:val="nil"/>
              <w:bottom w:val="single" w:sz="8" w:space="0" w:color="auto"/>
              <w:right w:val="single" w:sz="8" w:space="0" w:color="auto"/>
            </w:tcBorders>
            <w:shd w:val="clear" w:color="000000" w:fill="0070C0"/>
            <w:vAlign w:val="center"/>
            <w:hideMark/>
          </w:tcPr>
          <w:p w14:paraId="68E297D9" w14:textId="77777777" w:rsidR="00F74B2D" w:rsidRPr="00225C54" w:rsidRDefault="00F74B2D" w:rsidP="00F74B2D">
            <w:pPr>
              <w:spacing w:after="0" w:line="240" w:lineRule="auto"/>
              <w:jc w:val="center"/>
              <w:rPr>
                <w:rFonts w:eastAsia="Times New Roman" w:cs="Arial"/>
                <w:color w:val="FFFFFF"/>
                <w:sz w:val="20"/>
                <w:szCs w:val="20"/>
                <w:lang w:eastAsia="en-GB"/>
              </w:rPr>
            </w:pPr>
            <w:r w:rsidRPr="00225C54">
              <w:rPr>
                <w:rFonts w:eastAsia="Times New Roman" w:cs="Arial"/>
                <w:color w:val="FFFFFF"/>
                <w:sz w:val="20"/>
                <w:szCs w:val="20"/>
                <w:lang w:eastAsia="en-GB"/>
              </w:rPr>
              <w:t>15% of basic salary</w:t>
            </w:r>
          </w:p>
        </w:tc>
        <w:tc>
          <w:tcPr>
            <w:tcW w:w="1417" w:type="dxa"/>
            <w:tcBorders>
              <w:top w:val="nil"/>
              <w:left w:val="nil"/>
              <w:bottom w:val="single" w:sz="8" w:space="0" w:color="auto"/>
              <w:right w:val="single" w:sz="8" w:space="0" w:color="auto"/>
            </w:tcBorders>
            <w:shd w:val="clear" w:color="000000" w:fill="0070C0"/>
            <w:vAlign w:val="center"/>
            <w:hideMark/>
          </w:tcPr>
          <w:p w14:paraId="57E85E9C" w14:textId="77777777" w:rsidR="00F74B2D" w:rsidRPr="00F74B2D" w:rsidRDefault="00F74B2D" w:rsidP="00F74B2D">
            <w:pPr>
              <w:spacing w:after="0" w:line="240" w:lineRule="auto"/>
              <w:jc w:val="center"/>
              <w:rPr>
                <w:rFonts w:eastAsia="Times New Roman" w:cs="Arial"/>
                <w:color w:val="FFFFFF"/>
                <w:sz w:val="22"/>
                <w:lang w:eastAsia="en-GB"/>
              </w:rPr>
            </w:pPr>
            <w:r w:rsidRPr="00F74B2D">
              <w:rPr>
                <w:rFonts w:eastAsia="Times New Roman" w:cs="Arial"/>
                <w:color w:val="FFFFFF"/>
                <w:sz w:val="22"/>
                <w:lang w:eastAsia="en-GB"/>
              </w:rPr>
              <w:t>5% of basic salary</w:t>
            </w:r>
          </w:p>
        </w:tc>
      </w:tr>
      <w:tr w:rsidR="00F74B2D" w:rsidRPr="00F74B2D" w14:paraId="7372B3FF" w14:textId="77777777" w:rsidTr="00C01725">
        <w:trPr>
          <w:trHeight w:val="507"/>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0EABBD05"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A preceptorship lead</w:t>
            </w:r>
          </w:p>
        </w:tc>
        <w:tc>
          <w:tcPr>
            <w:tcW w:w="1974" w:type="dxa"/>
            <w:tcBorders>
              <w:top w:val="nil"/>
              <w:left w:val="nil"/>
              <w:bottom w:val="single" w:sz="8" w:space="0" w:color="auto"/>
              <w:right w:val="single" w:sz="8" w:space="0" w:color="auto"/>
            </w:tcBorders>
            <w:shd w:val="clear" w:color="auto" w:fill="auto"/>
            <w:vAlign w:val="center"/>
            <w:hideMark/>
          </w:tcPr>
          <w:p w14:paraId="081DF43C"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xml:space="preserve">1 WTE </w:t>
            </w:r>
          </w:p>
          <w:p w14:paraId="3F103C1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xml:space="preserve">mid band 7 </w:t>
            </w:r>
          </w:p>
          <w:p w14:paraId="20D43682" w14:textId="77777777" w:rsidR="001457B4" w:rsidRPr="00225C54" w:rsidRDefault="001457B4" w:rsidP="00F74B2D">
            <w:pPr>
              <w:spacing w:after="0" w:line="240" w:lineRule="auto"/>
              <w:rPr>
                <w:rFonts w:eastAsia="Times New Roman" w:cs="Arial"/>
                <w:color w:val="000000"/>
                <w:sz w:val="20"/>
                <w:szCs w:val="20"/>
                <w:lang w:eastAsia="en-GB"/>
              </w:rPr>
            </w:pPr>
          </w:p>
          <w:p w14:paraId="6D7F2FEC" w14:textId="7C92BFBE" w:rsidR="001457B4" w:rsidRPr="00225C54" w:rsidRDefault="001457B4"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£42,121 pa</w:t>
            </w:r>
          </w:p>
        </w:tc>
        <w:tc>
          <w:tcPr>
            <w:tcW w:w="1418" w:type="dxa"/>
            <w:tcBorders>
              <w:top w:val="nil"/>
              <w:left w:val="nil"/>
              <w:bottom w:val="single" w:sz="8" w:space="0" w:color="auto"/>
              <w:right w:val="single" w:sz="8" w:space="0" w:color="auto"/>
            </w:tcBorders>
            <w:shd w:val="clear" w:color="auto" w:fill="auto"/>
            <w:vAlign w:val="center"/>
            <w:hideMark/>
          </w:tcPr>
          <w:p w14:paraId="435E5909"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£53,350</w:t>
            </w:r>
          </w:p>
        </w:tc>
        <w:tc>
          <w:tcPr>
            <w:tcW w:w="1417" w:type="dxa"/>
            <w:tcBorders>
              <w:top w:val="nil"/>
              <w:left w:val="nil"/>
              <w:bottom w:val="single" w:sz="8" w:space="0" w:color="auto"/>
              <w:right w:val="single" w:sz="8" w:space="0" w:color="auto"/>
            </w:tcBorders>
            <w:shd w:val="clear" w:color="auto" w:fill="auto"/>
            <w:vAlign w:val="center"/>
            <w:hideMark/>
          </w:tcPr>
          <w:p w14:paraId="158A821E"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£62,447</w:t>
            </w:r>
          </w:p>
        </w:tc>
        <w:tc>
          <w:tcPr>
            <w:tcW w:w="1560" w:type="dxa"/>
            <w:tcBorders>
              <w:top w:val="nil"/>
              <w:left w:val="nil"/>
              <w:bottom w:val="single" w:sz="8" w:space="0" w:color="auto"/>
              <w:right w:val="single" w:sz="8" w:space="0" w:color="auto"/>
            </w:tcBorders>
            <w:shd w:val="clear" w:color="auto" w:fill="auto"/>
            <w:vAlign w:val="center"/>
            <w:hideMark/>
          </w:tcPr>
          <w:p w14:paraId="7DAE7630"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£60,173</w:t>
            </w:r>
          </w:p>
        </w:tc>
        <w:tc>
          <w:tcPr>
            <w:tcW w:w="1417" w:type="dxa"/>
            <w:tcBorders>
              <w:top w:val="nil"/>
              <w:left w:val="nil"/>
              <w:bottom w:val="single" w:sz="8" w:space="0" w:color="auto"/>
              <w:right w:val="single" w:sz="8" w:space="0" w:color="auto"/>
            </w:tcBorders>
            <w:shd w:val="clear" w:color="auto" w:fill="auto"/>
            <w:vAlign w:val="center"/>
            <w:hideMark/>
          </w:tcPr>
          <w:p w14:paraId="28F8FF9B" w14:textId="77777777" w:rsidR="00F74B2D" w:rsidRPr="00F74B2D" w:rsidRDefault="00F74B2D" w:rsidP="00F74B2D">
            <w:pPr>
              <w:spacing w:after="0" w:line="240" w:lineRule="auto"/>
              <w:jc w:val="right"/>
              <w:rPr>
                <w:rFonts w:eastAsia="Times New Roman" w:cs="Arial"/>
                <w:color w:val="000000"/>
                <w:sz w:val="22"/>
                <w:lang w:eastAsia="en-GB"/>
              </w:rPr>
            </w:pPr>
            <w:r w:rsidRPr="00F74B2D">
              <w:rPr>
                <w:rFonts w:eastAsia="Times New Roman" w:cs="Arial"/>
                <w:color w:val="000000"/>
                <w:sz w:val="22"/>
                <w:lang w:eastAsia="en-GB"/>
              </w:rPr>
              <w:t>£55,624</w:t>
            </w:r>
          </w:p>
        </w:tc>
      </w:tr>
      <w:tr w:rsidR="00F74B2D" w:rsidRPr="00F74B2D" w14:paraId="17E9EEE7" w14:textId="77777777" w:rsidTr="00C01725">
        <w:trPr>
          <w:trHeight w:val="507"/>
        </w:trPr>
        <w:tc>
          <w:tcPr>
            <w:tcW w:w="1985" w:type="dxa"/>
            <w:tcBorders>
              <w:top w:val="nil"/>
              <w:left w:val="single" w:sz="8" w:space="0" w:color="auto"/>
              <w:bottom w:val="nil"/>
              <w:right w:val="single" w:sz="8" w:space="0" w:color="auto"/>
            </w:tcBorders>
            <w:shd w:val="clear" w:color="auto" w:fill="auto"/>
            <w:vAlign w:val="center"/>
            <w:hideMark/>
          </w:tcPr>
          <w:p w14:paraId="127043E9" w14:textId="325496B3" w:rsidR="00F74B2D" w:rsidRPr="00225C54" w:rsidRDefault="00F74B2D" w:rsidP="00F74B2D">
            <w:pPr>
              <w:spacing w:after="0" w:line="240" w:lineRule="auto"/>
              <w:rPr>
                <w:rFonts w:eastAsia="Times New Roman" w:cs="Arial"/>
                <w:color w:val="000000"/>
                <w:sz w:val="20"/>
                <w:szCs w:val="20"/>
                <w:lang w:eastAsia="en-GB"/>
              </w:rPr>
            </w:pPr>
            <w:proofErr w:type="gramStart"/>
            <w:r w:rsidRPr="00225C54">
              <w:rPr>
                <w:rFonts w:eastAsia="Times New Roman" w:cs="Arial"/>
                <w:color w:val="000000"/>
                <w:sz w:val="20"/>
                <w:szCs w:val="20"/>
                <w:lang w:eastAsia="en-GB"/>
              </w:rPr>
              <w:t>Newly  registered</w:t>
            </w:r>
            <w:proofErr w:type="gramEnd"/>
            <w:r w:rsidRPr="00225C54">
              <w:rPr>
                <w:rFonts w:eastAsia="Times New Roman" w:cs="Arial"/>
                <w:color w:val="000000"/>
                <w:sz w:val="20"/>
                <w:szCs w:val="20"/>
                <w:lang w:eastAsia="en-GB"/>
              </w:rPr>
              <w:t xml:space="preserve"> Nurses</w:t>
            </w:r>
          </w:p>
        </w:tc>
        <w:tc>
          <w:tcPr>
            <w:tcW w:w="1974" w:type="dxa"/>
            <w:tcBorders>
              <w:top w:val="nil"/>
              <w:left w:val="nil"/>
              <w:bottom w:val="nil"/>
              <w:right w:val="single" w:sz="8" w:space="0" w:color="auto"/>
            </w:tcBorders>
            <w:shd w:val="clear" w:color="auto" w:fill="auto"/>
            <w:vAlign w:val="center"/>
            <w:hideMark/>
          </w:tcPr>
          <w:p w14:paraId="77EA084C"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xml:space="preserve">7 days per year </w:t>
            </w:r>
          </w:p>
        </w:tc>
        <w:tc>
          <w:tcPr>
            <w:tcW w:w="1418" w:type="dxa"/>
            <w:tcBorders>
              <w:top w:val="nil"/>
              <w:left w:val="nil"/>
              <w:bottom w:val="nil"/>
              <w:right w:val="single" w:sz="8" w:space="0" w:color="auto"/>
            </w:tcBorders>
            <w:shd w:val="clear" w:color="auto" w:fill="auto"/>
            <w:vAlign w:val="center"/>
            <w:hideMark/>
          </w:tcPr>
          <w:p w14:paraId="684D56D3"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7A08C95F"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560" w:type="dxa"/>
            <w:tcBorders>
              <w:top w:val="nil"/>
              <w:left w:val="nil"/>
              <w:bottom w:val="nil"/>
              <w:right w:val="single" w:sz="8" w:space="0" w:color="auto"/>
            </w:tcBorders>
            <w:shd w:val="clear" w:color="auto" w:fill="auto"/>
            <w:vAlign w:val="center"/>
            <w:hideMark/>
          </w:tcPr>
          <w:p w14:paraId="3E2230DB"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40B91867" w14:textId="77777777" w:rsidR="00F74B2D" w:rsidRPr="00F74B2D" w:rsidRDefault="00F74B2D" w:rsidP="00F74B2D">
            <w:pPr>
              <w:spacing w:after="0" w:line="240" w:lineRule="auto"/>
              <w:rPr>
                <w:rFonts w:eastAsia="Times New Roman" w:cs="Arial"/>
                <w:color w:val="000000"/>
                <w:sz w:val="22"/>
                <w:lang w:eastAsia="en-GB"/>
              </w:rPr>
            </w:pPr>
            <w:r w:rsidRPr="00F74B2D">
              <w:rPr>
                <w:rFonts w:eastAsia="Times New Roman" w:cs="Arial"/>
                <w:color w:val="000000"/>
                <w:sz w:val="22"/>
                <w:lang w:eastAsia="en-GB"/>
              </w:rPr>
              <w:t> </w:t>
            </w:r>
          </w:p>
        </w:tc>
      </w:tr>
      <w:tr w:rsidR="00F74B2D" w:rsidRPr="00F74B2D" w14:paraId="63880787" w14:textId="77777777" w:rsidTr="00C01725">
        <w:trPr>
          <w:trHeight w:val="507"/>
        </w:trPr>
        <w:tc>
          <w:tcPr>
            <w:tcW w:w="1985" w:type="dxa"/>
            <w:tcBorders>
              <w:top w:val="nil"/>
              <w:left w:val="single" w:sz="8" w:space="0" w:color="auto"/>
              <w:bottom w:val="nil"/>
              <w:right w:val="single" w:sz="8" w:space="0" w:color="auto"/>
            </w:tcBorders>
            <w:shd w:val="clear" w:color="auto" w:fill="auto"/>
            <w:vAlign w:val="center"/>
            <w:hideMark/>
          </w:tcPr>
          <w:p w14:paraId="4FD44575" w14:textId="77777777" w:rsidR="00F74B2D" w:rsidRPr="00225C54" w:rsidRDefault="00F74B2D" w:rsidP="00F74B2D">
            <w:pPr>
              <w:spacing w:after="0" w:line="240" w:lineRule="auto"/>
              <w:rPr>
                <w:rFonts w:eastAsia="Times New Roman" w:cs="Arial"/>
                <w:color w:val="000000"/>
                <w:sz w:val="20"/>
                <w:szCs w:val="20"/>
                <w:lang w:eastAsia="en-GB"/>
              </w:rPr>
            </w:pPr>
          </w:p>
          <w:p w14:paraId="047ED256" w14:textId="5E251645"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6 days protected time for preceptorship programme</w:t>
            </w:r>
          </w:p>
        </w:tc>
        <w:tc>
          <w:tcPr>
            <w:tcW w:w="1974" w:type="dxa"/>
            <w:tcBorders>
              <w:top w:val="nil"/>
              <w:left w:val="nil"/>
              <w:bottom w:val="nil"/>
              <w:right w:val="single" w:sz="8" w:space="0" w:color="auto"/>
            </w:tcBorders>
            <w:shd w:val="clear" w:color="auto" w:fill="auto"/>
            <w:vAlign w:val="center"/>
            <w:hideMark/>
          </w:tcPr>
          <w:p w14:paraId="1057EC7C"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Bottom band 5</w:t>
            </w:r>
          </w:p>
        </w:tc>
        <w:tc>
          <w:tcPr>
            <w:tcW w:w="1418" w:type="dxa"/>
            <w:tcBorders>
              <w:top w:val="nil"/>
              <w:left w:val="nil"/>
              <w:bottom w:val="nil"/>
              <w:right w:val="single" w:sz="8" w:space="0" w:color="auto"/>
            </w:tcBorders>
            <w:shd w:val="clear" w:color="auto" w:fill="auto"/>
            <w:vAlign w:val="center"/>
            <w:hideMark/>
          </w:tcPr>
          <w:p w14:paraId="1818103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6E32C62D"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560" w:type="dxa"/>
            <w:tcBorders>
              <w:top w:val="nil"/>
              <w:left w:val="nil"/>
              <w:bottom w:val="nil"/>
              <w:right w:val="single" w:sz="8" w:space="0" w:color="auto"/>
            </w:tcBorders>
            <w:shd w:val="clear" w:color="auto" w:fill="auto"/>
            <w:vAlign w:val="center"/>
            <w:hideMark/>
          </w:tcPr>
          <w:p w14:paraId="2CE98F08"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1720E1ED" w14:textId="77777777" w:rsidR="00F74B2D" w:rsidRPr="00F74B2D" w:rsidRDefault="00F74B2D" w:rsidP="00F74B2D">
            <w:pPr>
              <w:spacing w:after="0" w:line="240" w:lineRule="auto"/>
              <w:rPr>
                <w:rFonts w:eastAsia="Times New Roman" w:cs="Arial"/>
                <w:color w:val="000000"/>
                <w:sz w:val="22"/>
                <w:lang w:eastAsia="en-GB"/>
              </w:rPr>
            </w:pPr>
            <w:r w:rsidRPr="00F74B2D">
              <w:rPr>
                <w:rFonts w:eastAsia="Times New Roman" w:cs="Arial"/>
                <w:color w:val="000000"/>
                <w:sz w:val="22"/>
                <w:lang w:eastAsia="en-GB"/>
              </w:rPr>
              <w:t> </w:t>
            </w:r>
          </w:p>
        </w:tc>
      </w:tr>
      <w:tr w:rsidR="00F74B2D" w:rsidRPr="00F74B2D" w14:paraId="08D02EC0" w14:textId="77777777" w:rsidTr="00C01725">
        <w:trPr>
          <w:trHeight w:val="507"/>
        </w:trPr>
        <w:tc>
          <w:tcPr>
            <w:tcW w:w="1985" w:type="dxa"/>
            <w:tcBorders>
              <w:top w:val="nil"/>
              <w:left w:val="single" w:sz="8" w:space="0" w:color="auto"/>
              <w:bottom w:val="single" w:sz="8" w:space="0" w:color="auto"/>
              <w:right w:val="single" w:sz="8" w:space="0" w:color="auto"/>
            </w:tcBorders>
            <w:shd w:val="clear" w:color="auto" w:fill="auto"/>
            <w:vAlign w:val="center"/>
            <w:hideMark/>
          </w:tcPr>
          <w:p w14:paraId="3A36AA03" w14:textId="77777777" w:rsidR="00F74B2D" w:rsidRPr="00225C54" w:rsidRDefault="00F74B2D" w:rsidP="00F74B2D">
            <w:pPr>
              <w:spacing w:after="0" w:line="240" w:lineRule="auto"/>
              <w:rPr>
                <w:rFonts w:eastAsia="Times New Roman" w:cs="Arial"/>
                <w:color w:val="000000"/>
                <w:sz w:val="20"/>
                <w:szCs w:val="20"/>
                <w:lang w:eastAsia="en-GB"/>
              </w:rPr>
            </w:pPr>
          </w:p>
          <w:p w14:paraId="7495BC5A" w14:textId="72261669"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1 day preceptorship meetings and reflection practice</w:t>
            </w:r>
          </w:p>
        </w:tc>
        <w:tc>
          <w:tcPr>
            <w:tcW w:w="1974" w:type="dxa"/>
            <w:tcBorders>
              <w:top w:val="nil"/>
              <w:left w:val="nil"/>
              <w:bottom w:val="single" w:sz="8" w:space="0" w:color="auto"/>
              <w:right w:val="single" w:sz="8" w:space="0" w:color="auto"/>
            </w:tcBorders>
            <w:shd w:val="clear" w:color="auto" w:fill="auto"/>
            <w:vAlign w:val="center"/>
            <w:hideMark/>
          </w:tcPr>
          <w:p w14:paraId="2F67C1A2"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£31,149</w:t>
            </w:r>
          </w:p>
        </w:tc>
        <w:tc>
          <w:tcPr>
            <w:tcW w:w="1418" w:type="dxa"/>
            <w:tcBorders>
              <w:top w:val="nil"/>
              <w:left w:val="nil"/>
              <w:bottom w:val="single" w:sz="8" w:space="0" w:color="auto"/>
              <w:right w:val="single" w:sz="8" w:space="0" w:color="auto"/>
            </w:tcBorders>
            <w:shd w:val="clear" w:color="auto" w:fill="auto"/>
            <w:vAlign w:val="center"/>
            <w:hideMark/>
          </w:tcPr>
          <w:p w14:paraId="3A7C1DEC"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£103,830</w:t>
            </w:r>
          </w:p>
        </w:tc>
        <w:tc>
          <w:tcPr>
            <w:tcW w:w="1417" w:type="dxa"/>
            <w:tcBorders>
              <w:top w:val="nil"/>
              <w:left w:val="nil"/>
              <w:bottom w:val="single" w:sz="8" w:space="0" w:color="auto"/>
              <w:right w:val="single" w:sz="8" w:space="0" w:color="auto"/>
            </w:tcBorders>
            <w:shd w:val="clear" w:color="auto" w:fill="auto"/>
            <w:vAlign w:val="center"/>
            <w:hideMark/>
          </w:tcPr>
          <w:p w14:paraId="4694B7CF"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£125,752</w:t>
            </w:r>
          </w:p>
        </w:tc>
        <w:tc>
          <w:tcPr>
            <w:tcW w:w="1560" w:type="dxa"/>
            <w:tcBorders>
              <w:top w:val="nil"/>
              <w:left w:val="nil"/>
              <w:bottom w:val="single" w:sz="8" w:space="0" w:color="auto"/>
              <w:right w:val="single" w:sz="8" w:space="0" w:color="auto"/>
            </w:tcBorders>
            <w:shd w:val="clear" w:color="auto" w:fill="auto"/>
            <w:vAlign w:val="center"/>
            <w:hideMark/>
          </w:tcPr>
          <w:p w14:paraId="525C4834"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£120,271</w:t>
            </w:r>
          </w:p>
        </w:tc>
        <w:tc>
          <w:tcPr>
            <w:tcW w:w="1417" w:type="dxa"/>
            <w:tcBorders>
              <w:top w:val="nil"/>
              <w:left w:val="nil"/>
              <w:bottom w:val="single" w:sz="8" w:space="0" w:color="auto"/>
              <w:right w:val="single" w:sz="8" w:space="0" w:color="auto"/>
            </w:tcBorders>
            <w:shd w:val="clear" w:color="auto" w:fill="auto"/>
            <w:vAlign w:val="center"/>
            <w:hideMark/>
          </w:tcPr>
          <w:p w14:paraId="394AE216" w14:textId="77777777" w:rsidR="00F74B2D" w:rsidRPr="00F74B2D" w:rsidRDefault="00F74B2D" w:rsidP="00F74B2D">
            <w:pPr>
              <w:spacing w:after="0" w:line="240" w:lineRule="auto"/>
              <w:jc w:val="right"/>
              <w:rPr>
                <w:rFonts w:eastAsia="Times New Roman" w:cs="Arial"/>
                <w:color w:val="000000"/>
                <w:sz w:val="22"/>
                <w:lang w:eastAsia="en-GB"/>
              </w:rPr>
            </w:pPr>
            <w:r w:rsidRPr="00F74B2D">
              <w:rPr>
                <w:rFonts w:eastAsia="Times New Roman" w:cs="Arial"/>
                <w:color w:val="000000"/>
                <w:sz w:val="22"/>
                <w:lang w:eastAsia="en-GB"/>
              </w:rPr>
              <w:t>£109,310</w:t>
            </w:r>
          </w:p>
        </w:tc>
      </w:tr>
      <w:tr w:rsidR="00F74B2D" w:rsidRPr="00F74B2D" w14:paraId="0442227D" w14:textId="77777777" w:rsidTr="00C01725">
        <w:trPr>
          <w:trHeight w:val="507"/>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359E3D8A"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Facilitators of preceptorship programme</w:t>
            </w:r>
          </w:p>
        </w:tc>
        <w:tc>
          <w:tcPr>
            <w:tcW w:w="1974" w:type="dxa"/>
            <w:tcBorders>
              <w:top w:val="nil"/>
              <w:left w:val="nil"/>
              <w:bottom w:val="nil"/>
              <w:right w:val="single" w:sz="8" w:space="0" w:color="auto"/>
            </w:tcBorders>
            <w:shd w:val="clear" w:color="auto" w:fill="auto"/>
            <w:vAlign w:val="center"/>
            <w:hideMark/>
          </w:tcPr>
          <w:p w14:paraId="12AB9D0B"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xml:space="preserve">6 days per year, </w:t>
            </w:r>
          </w:p>
        </w:tc>
        <w:tc>
          <w:tcPr>
            <w:tcW w:w="1418" w:type="dxa"/>
            <w:tcBorders>
              <w:top w:val="nil"/>
              <w:left w:val="nil"/>
              <w:bottom w:val="nil"/>
              <w:right w:val="single" w:sz="8" w:space="0" w:color="auto"/>
            </w:tcBorders>
            <w:shd w:val="clear" w:color="auto" w:fill="auto"/>
            <w:vAlign w:val="center"/>
            <w:hideMark/>
          </w:tcPr>
          <w:p w14:paraId="5CB4748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11E74E7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560" w:type="dxa"/>
            <w:tcBorders>
              <w:top w:val="nil"/>
              <w:left w:val="nil"/>
              <w:bottom w:val="nil"/>
              <w:right w:val="single" w:sz="8" w:space="0" w:color="auto"/>
            </w:tcBorders>
            <w:shd w:val="clear" w:color="auto" w:fill="auto"/>
            <w:vAlign w:val="center"/>
            <w:hideMark/>
          </w:tcPr>
          <w:p w14:paraId="71B9E286"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033430D6" w14:textId="77777777" w:rsidR="00F74B2D" w:rsidRPr="00F74B2D" w:rsidRDefault="00F74B2D" w:rsidP="00F74B2D">
            <w:pPr>
              <w:spacing w:after="0" w:line="240" w:lineRule="auto"/>
              <w:rPr>
                <w:rFonts w:eastAsia="Times New Roman" w:cs="Arial"/>
                <w:color w:val="000000"/>
                <w:sz w:val="22"/>
                <w:lang w:eastAsia="en-GB"/>
              </w:rPr>
            </w:pPr>
            <w:r w:rsidRPr="00F74B2D">
              <w:rPr>
                <w:rFonts w:eastAsia="Times New Roman" w:cs="Arial"/>
                <w:color w:val="000000"/>
                <w:sz w:val="22"/>
                <w:lang w:eastAsia="en-GB"/>
              </w:rPr>
              <w:t> </w:t>
            </w:r>
          </w:p>
        </w:tc>
      </w:tr>
      <w:tr w:rsidR="00F74B2D" w:rsidRPr="00F74B2D" w14:paraId="596679D7" w14:textId="77777777" w:rsidTr="00C01725">
        <w:trPr>
          <w:trHeight w:val="507"/>
        </w:trPr>
        <w:tc>
          <w:tcPr>
            <w:tcW w:w="1985" w:type="dxa"/>
            <w:vMerge/>
            <w:tcBorders>
              <w:top w:val="nil"/>
              <w:left w:val="single" w:sz="8" w:space="0" w:color="auto"/>
              <w:bottom w:val="single" w:sz="8" w:space="0" w:color="000000"/>
              <w:right w:val="single" w:sz="8" w:space="0" w:color="auto"/>
            </w:tcBorders>
            <w:vAlign w:val="center"/>
            <w:hideMark/>
          </w:tcPr>
          <w:p w14:paraId="7831D759" w14:textId="77777777" w:rsidR="00F74B2D" w:rsidRPr="00225C54" w:rsidRDefault="00F74B2D" w:rsidP="00F74B2D">
            <w:pPr>
              <w:spacing w:after="0" w:line="240" w:lineRule="auto"/>
              <w:rPr>
                <w:rFonts w:eastAsia="Times New Roman" w:cs="Arial"/>
                <w:color w:val="000000"/>
                <w:sz w:val="20"/>
                <w:szCs w:val="20"/>
                <w:lang w:eastAsia="en-GB"/>
              </w:rPr>
            </w:pPr>
          </w:p>
        </w:tc>
        <w:tc>
          <w:tcPr>
            <w:tcW w:w="1974" w:type="dxa"/>
            <w:tcBorders>
              <w:top w:val="nil"/>
              <w:left w:val="nil"/>
              <w:bottom w:val="nil"/>
              <w:right w:val="single" w:sz="8" w:space="0" w:color="auto"/>
            </w:tcBorders>
            <w:shd w:val="clear" w:color="auto" w:fill="auto"/>
            <w:vAlign w:val="center"/>
            <w:hideMark/>
          </w:tcPr>
          <w:p w14:paraId="2B1F5C2C"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xml:space="preserve">1 facilitator for 10 NRN’s, </w:t>
            </w:r>
          </w:p>
        </w:tc>
        <w:tc>
          <w:tcPr>
            <w:tcW w:w="1418" w:type="dxa"/>
            <w:tcBorders>
              <w:top w:val="nil"/>
              <w:left w:val="nil"/>
              <w:bottom w:val="nil"/>
              <w:right w:val="single" w:sz="8" w:space="0" w:color="auto"/>
            </w:tcBorders>
            <w:shd w:val="clear" w:color="auto" w:fill="auto"/>
            <w:vAlign w:val="center"/>
            <w:hideMark/>
          </w:tcPr>
          <w:p w14:paraId="6D1FCF6F"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7865D22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560" w:type="dxa"/>
            <w:tcBorders>
              <w:top w:val="nil"/>
              <w:left w:val="nil"/>
              <w:bottom w:val="nil"/>
              <w:right w:val="single" w:sz="8" w:space="0" w:color="auto"/>
            </w:tcBorders>
            <w:shd w:val="clear" w:color="auto" w:fill="auto"/>
            <w:vAlign w:val="center"/>
            <w:hideMark/>
          </w:tcPr>
          <w:p w14:paraId="753C13AE"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1CCC019C" w14:textId="77777777" w:rsidR="00F74B2D" w:rsidRPr="00F74B2D" w:rsidRDefault="00F74B2D" w:rsidP="00F74B2D">
            <w:pPr>
              <w:spacing w:after="0" w:line="240" w:lineRule="auto"/>
              <w:rPr>
                <w:rFonts w:eastAsia="Times New Roman" w:cs="Arial"/>
                <w:color w:val="000000"/>
                <w:sz w:val="22"/>
                <w:lang w:eastAsia="en-GB"/>
              </w:rPr>
            </w:pPr>
            <w:r w:rsidRPr="00F74B2D">
              <w:rPr>
                <w:rFonts w:eastAsia="Times New Roman" w:cs="Arial"/>
                <w:color w:val="000000"/>
                <w:sz w:val="22"/>
                <w:lang w:eastAsia="en-GB"/>
              </w:rPr>
              <w:t> </w:t>
            </w:r>
          </w:p>
        </w:tc>
      </w:tr>
      <w:tr w:rsidR="00F74B2D" w:rsidRPr="00F74B2D" w14:paraId="785C8A9A" w14:textId="77777777" w:rsidTr="00C01725">
        <w:trPr>
          <w:trHeight w:val="507"/>
        </w:trPr>
        <w:tc>
          <w:tcPr>
            <w:tcW w:w="1985" w:type="dxa"/>
            <w:vMerge/>
            <w:tcBorders>
              <w:top w:val="nil"/>
              <w:left w:val="single" w:sz="8" w:space="0" w:color="auto"/>
              <w:bottom w:val="single" w:sz="8" w:space="0" w:color="000000"/>
              <w:right w:val="single" w:sz="8" w:space="0" w:color="auto"/>
            </w:tcBorders>
            <w:vAlign w:val="center"/>
            <w:hideMark/>
          </w:tcPr>
          <w:p w14:paraId="4B5D0179" w14:textId="77777777" w:rsidR="00F74B2D" w:rsidRPr="00225C54" w:rsidRDefault="00F74B2D" w:rsidP="00F74B2D">
            <w:pPr>
              <w:spacing w:after="0" w:line="240" w:lineRule="auto"/>
              <w:rPr>
                <w:rFonts w:eastAsia="Times New Roman" w:cs="Arial"/>
                <w:color w:val="000000"/>
                <w:sz w:val="20"/>
                <w:szCs w:val="20"/>
                <w:lang w:eastAsia="en-GB"/>
              </w:rPr>
            </w:pPr>
          </w:p>
        </w:tc>
        <w:tc>
          <w:tcPr>
            <w:tcW w:w="1974" w:type="dxa"/>
            <w:tcBorders>
              <w:top w:val="nil"/>
              <w:left w:val="nil"/>
              <w:bottom w:val="nil"/>
              <w:right w:val="single" w:sz="8" w:space="0" w:color="auto"/>
            </w:tcBorders>
            <w:shd w:val="clear" w:color="auto" w:fill="auto"/>
            <w:vAlign w:val="center"/>
            <w:hideMark/>
          </w:tcPr>
          <w:p w14:paraId="4A0E6D0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Midgrade band 6 – 0.3 WTE (60/210 days)</w:t>
            </w:r>
          </w:p>
        </w:tc>
        <w:tc>
          <w:tcPr>
            <w:tcW w:w="1418" w:type="dxa"/>
            <w:tcBorders>
              <w:top w:val="nil"/>
              <w:left w:val="nil"/>
              <w:bottom w:val="nil"/>
              <w:right w:val="single" w:sz="8" w:space="0" w:color="auto"/>
            </w:tcBorders>
            <w:shd w:val="clear" w:color="auto" w:fill="auto"/>
            <w:vAlign w:val="center"/>
            <w:hideMark/>
          </w:tcPr>
          <w:p w14:paraId="267978DD"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1D1E8F87"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560" w:type="dxa"/>
            <w:tcBorders>
              <w:top w:val="nil"/>
              <w:left w:val="nil"/>
              <w:bottom w:val="nil"/>
              <w:right w:val="single" w:sz="8" w:space="0" w:color="auto"/>
            </w:tcBorders>
            <w:shd w:val="clear" w:color="auto" w:fill="auto"/>
            <w:vAlign w:val="center"/>
            <w:hideMark/>
          </w:tcPr>
          <w:p w14:paraId="3874EE55"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417" w:type="dxa"/>
            <w:tcBorders>
              <w:top w:val="nil"/>
              <w:left w:val="nil"/>
              <w:bottom w:val="nil"/>
              <w:right w:val="single" w:sz="8" w:space="0" w:color="auto"/>
            </w:tcBorders>
            <w:shd w:val="clear" w:color="auto" w:fill="auto"/>
            <w:vAlign w:val="center"/>
            <w:hideMark/>
          </w:tcPr>
          <w:p w14:paraId="78E806DF" w14:textId="77777777" w:rsidR="00F74B2D" w:rsidRPr="00F74B2D" w:rsidRDefault="00F74B2D" w:rsidP="00F74B2D">
            <w:pPr>
              <w:spacing w:after="0" w:line="240" w:lineRule="auto"/>
              <w:rPr>
                <w:rFonts w:eastAsia="Times New Roman" w:cs="Arial"/>
                <w:color w:val="000000"/>
                <w:sz w:val="22"/>
                <w:lang w:eastAsia="en-GB"/>
              </w:rPr>
            </w:pPr>
            <w:r w:rsidRPr="00F74B2D">
              <w:rPr>
                <w:rFonts w:eastAsia="Times New Roman" w:cs="Arial"/>
                <w:color w:val="000000"/>
                <w:sz w:val="22"/>
                <w:lang w:eastAsia="en-GB"/>
              </w:rPr>
              <w:t> </w:t>
            </w:r>
          </w:p>
        </w:tc>
      </w:tr>
      <w:tr w:rsidR="00F74B2D" w:rsidRPr="00F74B2D" w14:paraId="52C642D1" w14:textId="77777777" w:rsidTr="00C01725">
        <w:trPr>
          <w:trHeight w:val="507"/>
        </w:trPr>
        <w:tc>
          <w:tcPr>
            <w:tcW w:w="1985" w:type="dxa"/>
            <w:vMerge/>
            <w:tcBorders>
              <w:top w:val="nil"/>
              <w:left w:val="single" w:sz="8" w:space="0" w:color="auto"/>
              <w:bottom w:val="single" w:sz="8" w:space="0" w:color="000000"/>
              <w:right w:val="single" w:sz="8" w:space="0" w:color="auto"/>
            </w:tcBorders>
            <w:vAlign w:val="center"/>
            <w:hideMark/>
          </w:tcPr>
          <w:p w14:paraId="113E1DE0" w14:textId="77777777" w:rsidR="00F74B2D" w:rsidRPr="00225C54" w:rsidRDefault="00F74B2D" w:rsidP="00F74B2D">
            <w:pPr>
              <w:spacing w:after="0" w:line="240" w:lineRule="auto"/>
              <w:rPr>
                <w:rFonts w:eastAsia="Times New Roman" w:cs="Arial"/>
                <w:color w:val="000000"/>
                <w:sz w:val="20"/>
                <w:szCs w:val="20"/>
                <w:lang w:eastAsia="en-GB"/>
              </w:rPr>
            </w:pPr>
          </w:p>
        </w:tc>
        <w:tc>
          <w:tcPr>
            <w:tcW w:w="1974" w:type="dxa"/>
            <w:tcBorders>
              <w:top w:val="nil"/>
              <w:left w:val="nil"/>
              <w:bottom w:val="single" w:sz="8" w:space="0" w:color="auto"/>
              <w:right w:val="single" w:sz="8" w:space="0" w:color="auto"/>
            </w:tcBorders>
            <w:shd w:val="clear" w:color="auto" w:fill="auto"/>
            <w:vAlign w:val="center"/>
            <w:hideMark/>
          </w:tcPr>
          <w:p w14:paraId="170CCB75"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£42,862</w:t>
            </w:r>
          </w:p>
        </w:tc>
        <w:tc>
          <w:tcPr>
            <w:tcW w:w="1418" w:type="dxa"/>
            <w:tcBorders>
              <w:top w:val="nil"/>
              <w:left w:val="nil"/>
              <w:bottom w:val="single" w:sz="8" w:space="0" w:color="auto"/>
              <w:right w:val="single" w:sz="8" w:space="0" w:color="auto"/>
            </w:tcBorders>
            <w:shd w:val="clear" w:color="auto" w:fill="auto"/>
            <w:vAlign w:val="center"/>
            <w:hideMark/>
          </w:tcPr>
          <w:p w14:paraId="60E5FA01"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£12,859</w:t>
            </w:r>
          </w:p>
        </w:tc>
        <w:tc>
          <w:tcPr>
            <w:tcW w:w="1417" w:type="dxa"/>
            <w:tcBorders>
              <w:top w:val="nil"/>
              <w:left w:val="nil"/>
              <w:bottom w:val="single" w:sz="8" w:space="0" w:color="auto"/>
              <w:right w:val="single" w:sz="8" w:space="0" w:color="auto"/>
            </w:tcBorders>
            <w:shd w:val="clear" w:color="auto" w:fill="auto"/>
            <w:vAlign w:val="center"/>
            <w:hideMark/>
          </w:tcPr>
          <w:p w14:paraId="71B4E289"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£18,734</w:t>
            </w:r>
          </w:p>
        </w:tc>
        <w:tc>
          <w:tcPr>
            <w:tcW w:w="1560" w:type="dxa"/>
            <w:tcBorders>
              <w:top w:val="nil"/>
              <w:left w:val="nil"/>
              <w:bottom w:val="single" w:sz="8" w:space="0" w:color="auto"/>
              <w:right w:val="single" w:sz="8" w:space="0" w:color="auto"/>
            </w:tcBorders>
            <w:shd w:val="clear" w:color="auto" w:fill="auto"/>
            <w:vAlign w:val="center"/>
            <w:hideMark/>
          </w:tcPr>
          <w:p w14:paraId="43638A5F" w14:textId="77777777" w:rsidR="00F74B2D" w:rsidRPr="00225C54" w:rsidRDefault="00F74B2D" w:rsidP="00F74B2D">
            <w:pPr>
              <w:spacing w:after="0" w:line="240" w:lineRule="auto"/>
              <w:jc w:val="right"/>
              <w:rPr>
                <w:rFonts w:eastAsia="Times New Roman" w:cs="Arial"/>
                <w:color w:val="000000"/>
                <w:sz w:val="20"/>
                <w:szCs w:val="20"/>
                <w:lang w:eastAsia="en-GB"/>
              </w:rPr>
            </w:pPr>
            <w:r w:rsidRPr="00225C54">
              <w:rPr>
                <w:rFonts w:eastAsia="Times New Roman" w:cs="Arial"/>
                <w:color w:val="000000"/>
                <w:sz w:val="20"/>
                <w:szCs w:val="20"/>
                <w:lang w:eastAsia="en-GB"/>
              </w:rPr>
              <w:t>£17,265</w:t>
            </w:r>
          </w:p>
        </w:tc>
        <w:tc>
          <w:tcPr>
            <w:tcW w:w="1417" w:type="dxa"/>
            <w:tcBorders>
              <w:top w:val="nil"/>
              <w:left w:val="nil"/>
              <w:bottom w:val="single" w:sz="8" w:space="0" w:color="auto"/>
              <w:right w:val="single" w:sz="8" w:space="0" w:color="auto"/>
            </w:tcBorders>
            <w:shd w:val="clear" w:color="auto" w:fill="auto"/>
            <w:vAlign w:val="center"/>
            <w:hideMark/>
          </w:tcPr>
          <w:p w14:paraId="5CC027DD" w14:textId="77777777" w:rsidR="00F74B2D" w:rsidRPr="00F74B2D" w:rsidRDefault="00F74B2D" w:rsidP="00F74B2D">
            <w:pPr>
              <w:spacing w:after="0" w:line="240" w:lineRule="auto"/>
              <w:jc w:val="right"/>
              <w:rPr>
                <w:rFonts w:eastAsia="Times New Roman" w:cs="Arial"/>
                <w:color w:val="000000"/>
                <w:sz w:val="22"/>
                <w:lang w:eastAsia="en-GB"/>
              </w:rPr>
            </w:pPr>
            <w:r w:rsidRPr="00F74B2D">
              <w:rPr>
                <w:rFonts w:eastAsia="Times New Roman" w:cs="Arial"/>
                <w:color w:val="000000"/>
                <w:sz w:val="22"/>
                <w:lang w:eastAsia="en-GB"/>
              </w:rPr>
              <w:t>£14,328</w:t>
            </w:r>
          </w:p>
        </w:tc>
      </w:tr>
      <w:tr w:rsidR="00F74B2D" w:rsidRPr="00F74B2D" w14:paraId="7FEEA980" w14:textId="77777777" w:rsidTr="001F1266">
        <w:trPr>
          <w:trHeight w:val="1148"/>
        </w:trPr>
        <w:tc>
          <w:tcPr>
            <w:tcW w:w="1985" w:type="dxa"/>
            <w:tcBorders>
              <w:top w:val="nil"/>
              <w:left w:val="single" w:sz="8" w:space="0" w:color="auto"/>
              <w:bottom w:val="single" w:sz="4" w:space="0" w:color="auto"/>
              <w:right w:val="single" w:sz="8" w:space="0" w:color="auto"/>
            </w:tcBorders>
            <w:shd w:val="clear" w:color="auto" w:fill="auto"/>
            <w:vAlign w:val="center"/>
            <w:hideMark/>
          </w:tcPr>
          <w:p w14:paraId="1AFE3D98" w14:textId="6C03F7D3" w:rsidR="00F74B2D" w:rsidRPr="003852D5" w:rsidRDefault="00F74B2D" w:rsidP="00F74B2D">
            <w:pPr>
              <w:spacing w:after="0" w:line="240" w:lineRule="auto"/>
              <w:rPr>
                <w:rFonts w:eastAsia="Times New Roman" w:cs="Arial"/>
                <w:color w:val="000000"/>
                <w:sz w:val="20"/>
                <w:szCs w:val="20"/>
                <w:lang w:eastAsia="en-GB"/>
              </w:rPr>
            </w:pPr>
            <w:r w:rsidRPr="003852D5">
              <w:rPr>
                <w:rFonts w:eastAsia="Times New Roman" w:cs="Arial"/>
                <w:color w:val="000000"/>
                <w:sz w:val="20"/>
                <w:szCs w:val="20"/>
                <w:lang w:eastAsia="en-GB"/>
              </w:rPr>
              <w:t xml:space="preserve">Preceptor time to support preceptorship meeting </w:t>
            </w:r>
          </w:p>
        </w:tc>
        <w:tc>
          <w:tcPr>
            <w:tcW w:w="1974" w:type="dxa"/>
            <w:tcBorders>
              <w:top w:val="nil"/>
              <w:left w:val="nil"/>
              <w:bottom w:val="single" w:sz="4" w:space="0" w:color="auto"/>
              <w:right w:val="single" w:sz="8" w:space="0" w:color="auto"/>
            </w:tcBorders>
            <w:shd w:val="clear" w:color="auto" w:fill="auto"/>
            <w:vAlign w:val="center"/>
            <w:hideMark/>
          </w:tcPr>
          <w:p w14:paraId="3995BF16" w14:textId="77777777" w:rsidR="003852D5" w:rsidRPr="003852D5" w:rsidRDefault="003852D5" w:rsidP="00F74B2D">
            <w:pPr>
              <w:spacing w:after="0" w:line="240" w:lineRule="auto"/>
              <w:rPr>
                <w:rFonts w:eastAsia="Times New Roman" w:cs="Arial"/>
                <w:color w:val="000000"/>
                <w:sz w:val="20"/>
                <w:szCs w:val="20"/>
                <w:lang w:eastAsia="en-GB"/>
              </w:rPr>
            </w:pPr>
            <w:r w:rsidRPr="003852D5">
              <w:rPr>
                <w:rFonts w:eastAsia="Times New Roman" w:cs="Arial"/>
                <w:color w:val="000000"/>
                <w:sz w:val="20"/>
                <w:szCs w:val="20"/>
                <w:lang w:eastAsia="en-GB"/>
              </w:rPr>
              <w:t>8 hours per year</w:t>
            </w:r>
          </w:p>
          <w:p w14:paraId="06515606" w14:textId="77777777" w:rsidR="00F74B2D" w:rsidRDefault="003852D5" w:rsidP="00F74B2D">
            <w:pPr>
              <w:spacing w:after="0" w:line="240" w:lineRule="auto"/>
              <w:rPr>
                <w:rFonts w:eastAsia="Times New Roman" w:cs="Arial"/>
                <w:color w:val="000000"/>
                <w:sz w:val="20"/>
                <w:szCs w:val="20"/>
                <w:lang w:eastAsia="en-GB"/>
              </w:rPr>
            </w:pPr>
            <w:r w:rsidRPr="003852D5">
              <w:rPr>
                <w:rFonts w:eastAsia="Times New Roman" w:cs="Arial"/>
                <w:color w:val="000000"/>
                <w:sz w:val="20"/>
                <w:szCs w:val="20"/>
                <w:lang w:eastAsia="en-GB"/>
              </w:rPr>
              <w:t>Band 6</w:t>
            </w:r>
            <w:r w:rsidR="00F74B2D" w:rsidRPr="003852D5">
              <w:rPr>
                <w:rFonts w:eastAsia="Times New Roman" w:cs="Arial"/>
                <w:color w:val="000000"/>
                <w:sz w:val="20"/>
                <w:szCs w:val="20"/>
                <w:lang w:eastAsia="en-GB"/>
              </w:rPr>
              <w:t xml:space="preserve"> </w:t>
            </w:r>
          </w:p>
          <w:p w14:paraId="268DB8C0" w14:textId="1E7B2B35" w:rsidR="00880C9C" w:rsidRPr="003852D5" w:rsidRDefault="00880C9C" w:rsidP="00F74B2D">
            <w:pPr>
              <w:spacing w:after="0" w:line="240" w:lineRule="auto"/>
              <w:rPr>
                <w:rFonts w:eastAsia="Times New Roman" w:cs="Arial"/>
                <w:color w:val="000000"/>
                <w:sz w:val="20"/>
                <w:szCs w:val="20"/>
                <w:lang w:eastAsia="en-GB"/>
              </w:rPr>
            </w:pPr>
            <w:r>
              <w:rPr>
                <w:rFonts w:eastAsia="Times New Roman" w:cs="Arial"/>
                <w:color w:val="000000"/>
                <w:sz w:val="20"/>
                <w:szCs w:val="20"/>
                <w:lang w:eastAsia="en-GB"/>
              </w:rPr>
              <w:t>£34,172</w:t>
            </w:r>
          </w:p>
        </w:tc>
        <w:tc>
          <w:tcPr>
            <w:tcW w:w="1418" w:type="dxa"/>
            <w:tcBorders>
              <w:top w:val="nil"/>
              <w:left w:val="nil"/>
              <w:bottom w:val="single" w:sz="8" w:space="0" w:color="auto"/>
              <w:right w:val="single" w:sz="8" w:space="0" w:color="auto"/>
            </w:tcBorders>
            <w:shd w:val="clear" w:color="auto" w:fill="auto"/>
            <w:vAlign w:val="center"/>
            <w:hideMark/>
          </w:tcPr>
          <w:p w14:paraId="25F570FF" w14:textId="1904B135" w:rsidR="00F74B2D" w:rsidRPr="003852D5" w:rsidRDefault="003852D5" w:rsidP="003852D5">
            <w:pPr>
              <w:spacing w:after="0" w:line="240" w:lineRule="auto"/>
              <w:jc w:val="right"/>
              <w:rPr>
                <w:rFonts w:eastAsia="Times New Roman" w:cs="Arial"/>
                <w:color w:val="000000"/>
                <w:sz w:val="20"/>
                <w:szCs w:val="20"/>
                <w:lang w:eastAsia="en-GB"/>
              </w:rPr>
            </w:pPr>
            <w:r w:rsidRPr="003852D5">
              <w:rPr>
                <w:rFonts w:eastAsia="Times New Roman" w:cs="Arial"/>
                <w:color w:val="000000"/>
                <w:sz w:val="20"/>
                <w:szCs w:val="20"/>
                <w:lang w:eastAsia="en-GB"/>
              </w:rPr>
              <w:t>£</w:t>
            </w:r>
            <w:r w:rsidR="00880C9C">
              <w:rPr>
                <w:rFonts w:eastAsia="Times New Roman" w:cs="Arial"/>
                <w:color w:val="000000"/>
                <w:sz w:val="20"/>
                <w:szCs w:val="20"/>
                <w:lang w:eastAsia="en-GB"/>
              </w:rPr>
              <w:t>137</w:t>
            </w:r>
          </w:p>
        </w:tc>
        <w:tc>
          <w:tcPr>
            <w:tcW w:w="1417" w:type="dxa"/>
            <w:tcBorders>
              <w:top w:val="nil"/>
              <w:left w:val="nil"/>
              <w:bottom w:val="single" w:sz="8" w:space="0" w:color="auto"/>
              <w:right w:val="single" w:sz="8" w:space="0" w:color="auto"/>
            </w:tcBorders>
            <w:shd w:val="clear" w:color="auto" w:fill="auto"/>
            <w:vAlign w:val="center"/>
            <w:hideMark/>
          </w:tcPr>
          <w:p w14:paraId="53FCB8E8" w14:textId="514B8D82" w:rsidR="00F74B2D" w:rsidRPr="003852D5" w:rsidRDefault="00880C9C" w:rsidP="003852D5">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£198</w:t>
            </w:r>
          </w:p>
        </w:tc>
        <w:tc>
          <w:tcPr>
            <w:tcW w:w="1560" w:type="dxa"/>
            <w:tcBorders>
              <w:top w:val="nil"/>
              <w:left w:val="nil"/>
              <w:bottom w:val="single" w:sz="8" w:space="0" w:color="auto"/>
              <w:right w:val="single" w:sz="8" w:space="0" w:color="auto"/>
            </w:tcBorders>
            <w:shd w:val="clear" w:color="auto" w:fill="auto"/>
            <w:vAlign w:val="center"/>
            <w:hideMark/>
          </w:tcPr>
          <w:p w14:paraId="214E870E" w14:textId="070E937F" w:rsidR="00F74B2D" w:rsidRPr="003852D5" w:rsidRDefault="00880C9C" w:rsidP="003852D5">
            <w:pPr>
              <w:spacing w:after="0" w:line="240" w:lineRule="auto"/>
              <w:jc w:val="right"/>
              <w:rPr>
                <w:rFonts w:eastAsia="Times New Roman" w:cs="Arial"/>
                <w:color w:val="000000"/>
                <w:sz w:val="20"/>
                <w:szCs w:val="20"/>
                <w:lang w:eastAsia="en-GB"/>
              </w:rPr>
            </w:pPr>
            <w:r>
              <w:rPr>
                <w:rFonts w:eastAsia="Times New Roman" w:cs="Arial"/>
                <w:color w:val="000000"/>
                <w:sz w:val="20"/>
                <w:szCs w:val="20"/>
                <w:lang w:eastAsia="en-GB"/>
              </w:rPr>
              <w:t>£192</w:t>
            </w:r>
          </w:p>
        </w:tc>
        <w:tc>
          <w:tcPr>
            <w:tcW w:w="1417" w:type="dxa"/>
            <w:tcBorders>
              <w:top w:val="nil"/>
              <w:left w:val="nil"/>
              <w:bottom w:val="single" w:sz="8" w:space="0" w:color="auto"/>
              <w:right w:val="single" w:sz="8" w:space="0" w:color="auto"/>
            </w:tcBorders>
            <w:shd w:val="clear" w:color="auto" w:fill="auto"/>
            <w:vAlign w:val="center"/>
            <w:hideMark/>
          </w:tcPr>
          <w:p w14:paraId="5C9FF7B4" w14:textId="0AC5BFC5" w:rsidR="00F74B2D" w:rsidRPr="003852D5" w:rsidRDefault="00880C9C" w:rsidP="003852D5">
            <w:pPr>
              <w:spacing w:after="0" w:line="240" w:lineRule="auto"/>
              <w:jc w:val="right"/>
              <w:rPr>
                <w:rFonts w:eastAsia="Times New Roman" w:cs="Arial"/>
                <w:color w:val="000000"/>
                <w:sz w:val="22"/>
                <w:lang w:eastAsia="en-GB"/>
              </w:rPr>
            </w:pPr>
            <w:r>
              <w:rPr>
                <w:rFonts w:eastAsia="Times New Roman" w:cs="Arial"/>
                <w:color w:val="000000"/>
                <w:sz w:val="22"/>
                <w:lang w:eastAsia="en-GB"/>
              </w:rPr>
              <w:t>£177</w:t>
            </w:r>
          </w:p>
        </w:tc>
      </w:tr>
      <w:tr w:rsidR="00F74B2D" w:rsidRPr="00F74B2D" w14:paraId="49CCF185" w14:textId="77777777" w:rsidTr="00C01725">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99009" w14:textId="77777777" w:rsidR="00F74B2D" w:rsidRPr="00225C54" w:rsidRDefault="00F74B2D" w:rsidP="00F74B2D">
            <w:pPr>
              <w:spacing w:after="0" w:line="240" w:lineRule="auto"/>
              <w:rPr>
                <w:rFonts w:eastAsia="Times New Roman" w:cs="Arial"/>
                <w:color w:val="000000"/>
                <w:sz w:val="20"/>
                <w:szCs w:val="20"/>
                <w:lang w:eastAsia="en-GB"/>
              </w:rPr>
            </w:pPr>
            <w:r w:rsidRPr="00225C54">
              <w:rPr>
                <w:rFonts w:eastAsia="Times New Roman" w:cs="Arial"/>
                <w:color w:val="000000"/>
                <w:sz w:val="20"/>
                <w:szCs w:val="20"/>
                <w:lang w:eastAsia="en-GB"/>
              </w:rPr>
              <w:t> </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7588C" w14:textId="73C1E885" w:rsidR="00F74B2D" w:rsidRPr="00225C54" w:rsidRDefault="00F74B2D" w:rsidP="00F74B2D">
            <w:pPr>
              <w:spacing w:after="0" w:line="240" w:lineRule="auto"/>
              <w:rPr>
                <w:rFonts w:eastAsia="Times New Roman" w:cs="Arial"/>
                <w:b/>
                <w:bCs/>
                <w:color w:val="000000"/>
                <w:sz w:val="20"/>
                <w:szCs w:val="20"/>
                <w:lang w:eastAsia="en-GB"/>
              </w:rPr>
            </w:pPr>
            <w:r w:rsidRPr="00225C54">
              <w:rPr>
                <w:rFonts w:eastAsia="Times New Roman" w:cs="Arial"/>
                <w:b/>
                <w:bCs/>
                <w:color w:val="000000"/>
                <w:sz w:val="20"/>
                <w:szCs w:val="20"/>
                <w:lang w:eastAsia="en-GB"/>
              </w:rPr>
              <w:t xml:space="preserve">Total per 100 NRN </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14:paraId="641CE44D" w14:textId="15697A2B" w:rsidR="00F74B2D" w:rsidRPr="00225C54" w:rsidRDefault="00F74B2D" w:rsidP="00F74B2D">
            <w:pPr>
              <w:spacing w:after="0" w:line="240" w:lineRule="auto"/>
              <w:jc w:val="right"/>
              <w:rPr>
                <w:rFonts w:eastAsia="Times New Roman" w:cs="Arial"/>
                <w:b/>
                <w:bCs/>
                <w:color w:val="000000"/>
                <w:sz w:val="20"/>
                <w:szCs w:val="20"/>
                <w:lang w:eastAsia="en-GB"/>
              </w:rPr>
            </w:pPr>
            <w:r w:rsidRPr="00225C54">
              <w:rPr>
                <w:rFonts w:eastAsia="Times New Roman" w:cs="Arial"/>
                <w:b/>
                <w:bCs/>
                <w:color w:val="000000"/>
                <w:sz w:val="20"/>
                <w:szCs w:val="20"/>
                <w:lang w:eastAsia="en-GB"/>
              </w:rPr>
              <w:t>£170,</w:t>
            </w:r>
            <w:r w:rsidR="00880C9C">
              <w:rPr>
                <w:rFonts w:eastAsia="Times New Roman" w:cs="Arial"/>
                <w:b/>
                <w:bCs/>
                <w:color w:val="000000"/>
                <w:sz w:val="20"/>
                <w:szCs w:val="20"/>
                <w:lang w:eastAsia="en-GB"/>
              </w:rPr>
              <w:t>175</w:t>
            </w:r>
          </w:p>
        </w:tc>
        <w:tc>
          <w:tcPr>
            <w:tcW w:w="1417" w:type="dxa"/>
            <w:tcBorders>
              <w:top w:val="nil"/>
              <w:left w:val="nil"/>
              <w:bottom w:val="single" w:sz="8" w:space="0" w:color="auto"/>
              <w:right w:val="single" w:sz="8" w:space="0" w:color="auto"/>
            </w:tcBorders>
            <w:shd w:val="clear" w:color="auto" w:fill="auto"/>
            <w:vAlign w:val="center"/>
            <w:hideMark/>
          </w:tcPr>
          <w:p w14:paraId="436F4F0A" w14:textId="7E8FDBEF" w:rsidR="00F74B2D" w:rsidRPr="00225C54" w:rsidRDefault="00F74B2D" w:rsidP="00F74B2D">
            <w:pPr>
              <w:spacing w:after="0" w:line="240" w:lineRule="auto"/>
              <w:jc w:val="right"/>
              <w:rPr>
                <w:rFonts w:eastAsia="Times New Roman" w:cs="Arial"/>
                <w:b/>
                <w:bCs/>
                <w:color w:val="000000"/>
                <w:sz w:val="20"/>
                <w:szCs w:val="20"/>
                <w:lang w:eastAsia="en-GB"/>
              </w:rPr>
            </w:pPr>
            <w:r w:rsidRPr="00225C54">
              <w:rPr>
                <w:rFonts w:eastAsia="Times New Roman" w:cs="Arial"/>
                <w:b/>
                <w:bCs/>
                <w:color w:val="000000"/>
                <w:sz w:val="20"/>
                <w:szCs w:val="20"/>
                <w:lang w:eastAsia="en-GB"/>
              </w:rPr>
              <w:t>£20</w:t>
            </w:r>
            <w:r w:rsidR="00880C9C">
              <w:rPr>
                <w:rFonts w:eastAsia="Times New Roman" w:cs="Arial"/>
                <w:b/>
                <w:bCs/>
                <w:color w:val="000000"/>
                <w:sz w:val="20"/>
                <w:szCs w:val="20"/>
                <w:lang w:eastAsia="en-GB"/>
              </w:rPr>
              <w:t>7,131</w:t>
            </w:r>
          </w:p>
        </w:tc>
        <w:tc>
          <w:tcPr>
            <w:tcW w:w="1560" w:type="dxa"/>
            <w:tcBorders>
              <w:top w:val="nil"/>
              <w:left w:val="nil"/>
              <w:bottom w:val="single" w:sz="8" w:space="0" w:color="auto"/>
              <w:right w:val="single" w:sz="8" w:space="0" w:color="auto"/>
            </w:tcBorders>
            <w:shd w:val="clear" w:color="auto" w:fill="auto"/>
            <w:vAlign w:val="center"/>
            <w:hideMark/>
          </w:tcPr>
          <w:p w14:paraId="20381025" w14:textId="0552CFFA" w:rsidR="00F74B2D" w:rsidRPr="00225C54" w:rsidRDefault="00880C9C" w:rsidP="00F74B2D">
            <w:pPr>
              <w:spacing w:after="0" w:line="240" w:lineRule="auto"/>
              <w:jc w:val="right"/>
              <w:rPr>
                <w:rFonts w:eastAsia="Times New Roman" w:cs="Arial"/>
                <w:b/>
                <w:bCs/>
                <w:color w:val="000000"/>
                <w:sz w:val="20"/>
                <w:szCs w:val="20"/>
                <w:lang w:eastAsia="en-GB"/>
              </w:rPr>
            </w:pPr>
            <w:r>
              <w:rPr>
                <w:rFonts w:eastAsia="Times New Roman" w:cs="Arial"/>
                <w:b/>
                <w:bCs/>
                <w:color w:val="000000"/>
                <w:sz w:val="20"/>
                <w:szCs w:val="20"/>
                <w:lang w:eastAsia="en-GB"/>
              </w:rPr>
              <w:t>£197,900</w:t>
            </w:r>
          </w:p>
        </w:tc>
        <w:tc>
          <w:tcPr>
            <w:tcW w:w="1417" w:type="dxa"/>
            <w:tcBorders>
              <w:top w:val="nil"/>
              <w:left w:val="nil"/>
              <w:bottom w:val="single" w:sz="8" w:space="0" w:color="auto"/>
              <w:right w:val="single" w:sz="8" w:space="0" w:color="auto"/>
            </w:tcBorders>
            <w:shd w:val="clear" w:color="auto" w:fill="auto"/>
            <w:vAlign w:val="center"/>
            <w:hideMark/>
          </w:tcPr>
          <w:p w14:paraId="21D0294B" w14:textId="6AD26AB4" w:rsidR="00F74B2D" w:rsidRPr="00F74B2D" w:rsidRDefault="00880C9C" w:rsidP="00F74B2D">
            <w:pPr>
              <w:spacing w:after="0" w:line="240" w:lineRule="auto"/>
              <w:jc w:val="right"/>
              <w:rPr>
                <w:rFonts w:eastAsia="Times New Roman" w:cs="Arial"/>
                <w:b/>
                <w:bCs/>
                <w:color w:val="000000"/>
                <w:sz w:val="22"/>
                <w:lang w:eastAsia="en-GB"/>
              </w:rPr>
            </w:pPr>
            <w:r>
              <w:rPr>
                <w:rFonts w:eastAsia="Times New Roman" w:cs="Arial"/>
                <w:b/>
                <w:bCs/>
                <w:color w:val="000000"/>
                <w:sz w:val="22"/>
                <w:lang w:eastAsia="en-GB"/>
              </w:rPr>
              <w:t>£179,440</w:t>
            </w:r>
          </w:p>
        </w:tc>
      </w:tr>
      <w:tr w:rsidR="001457B4" w:rsidRPr="00F74B2D" w14:paraId="22A9B09E" w14:textId="77777777" w:rsidTr="00C01725">
        <w:trPr>
          <w:trHeight w:val="507"/>
        </w:trPr>
        <w:tc>
          <w:tcPr>
            <w:tcW w:w="97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5E2A390" w14:textId="350C4D77" w:rsidR="001457B4" w:rsidRPr="00225C54" w:rsidRDefault="001457B4" w:rsidP="00F74B2D">
            <w:pPr>
              <w:spacing w:after="0" w:line="240" w:lineRule="auto"/>
              <w:rPr>
                <w:rFonts w:eastAsia="Times New Roman" w:cs="Arial"/>
                <w:sz w:val="20"/>
                <w:szCs w:val="20"/>
                <w:lang w:eastAsia="en-GB"/>
              </w:rPr>
            </w:pPr>
            <w:r w:rsidRPr="00225C54">
              <w:rPr>
                <w:rFonts w:eastAsia="Times New Roman" w:cs="Arial"/>
                <w:color w:val="000000"/>
                <w:sz w:val="20"/>
                <w:szCs w:val="20"/>
                <w:lang w:eastAsia="en-GB"/>
              </w:rPr>
              <w:t>NB – All costs are based on a 7.5 hour working day. Learning material and rooms costs</w:t>
            </w:r>
            <w:r w:rsidR="00C01725" w:rsidRPr="00225C54">
              <w:rPr>
                <w:rFonts w:eastAsia="Times New Roman" w:cs="Arial"/>
                <w:color w:val="000000"/>
                <w:sz w:val="20"/>
                <w:szCs w:val="20"/>
                <w:lang w:eastAsia="en-GB"/>
              </w:rPr>
              <w:t xml:space="preserve"> are not included</w:t>
            </w:r>
          </w:p>
        </w:tc>
      </w:tr>
    </w:tbl>
    <w:p w14:paraId="1D3A1CFA" w14:textId="4327B649" w:rsidR="00F74B2D" w:rsidRPr="00DA6D9A" w:rsidRDefault="00F74B2D" w:rsidP="00AE223C">
      <w:pPr>
        <w:shd w:val="clear" w:color="auto" w:fill="FFFFFF" w:themeFill="background1"/>
        <w:ind w:left="360" w:hanging="360"/>
        <w:rPr>
          <w:sz w:val="18"/>
          <w:szCs w:val="18"/>
        </w:rPr>
      </w:pPr>
      <w:r w:rsidRPr="00DA6D9A">
        <w:rPr>
          <w:sz w:val="18"/>
          <w:szCs w:val="18"/>
        </w:rPr>
        <w:t xml:space="preserve">All costs are calculated as per </w:t>
      </w:r>
      <w:hyperlink r:id="rId11" w:history="1">
        <w:r w:rsidRPr="00DA6D9A">
          <w:rPr>
            <w:rStyle w:val="Hyperlink"/>
            <w:sz w:val="18"/>
            <w:szCs w:val="18"/>
          </w:rPr>
          <w:t>NHS Agenda for change (</w:t>
        </w:r>
        <w:proofErr w:type="spellStart"/>
        <w:r w:rsidRPr="00DA6D9A">
          <w:rPr>
            <w:rStyle w:val="Hyperlink"/>
            <w:sz w:val="18"/>
            <w:szCs w:val="18"/>
          </w:rPr>
          <w:t>AfC</w:t>
        </w:r>
        <w:proofErr w:type="spellEnd"/>
        <w:r w:rsidRPr="00DA6D9A">
          <w:rPr>
            <w:rStyle w:val="Hyperlink"/>
            <w:sz w:val="18"/>
            <w:szCs w:val="18"/>
          </w:rPr>
          <w:t>)</w:t>
        </w:r>
      </w:hyperlink>
      <w:r w:rsidRPr="00DA6D9A">
        <w:rPr>
          <w:sz w:val="18"/>
          <w:szCs w:val="18"/>
        </w:rPr>
        <w:t xml:space="preserve"> pay rates.</w:t>
      </w:r>
      <w:r w:rsidR="00AE223C">
        <w:rPr>
          <w:sz w:val="18"/>
          <w:szCs w:val="18"/>
        </w:rPr>
        <w:t xml:space="preserve"> They are based on base rate and do not include overheads, usually calculate as 25% of base in addition.</w:t>
      </w:r>
    </w:p>
    <w:p w14:paraId="408322FA" w14:textId="138A75E3" w:rsidR="00225C54" w:rsidRDefault="00497560" w:rsidP="00225C54">
      <w:pPr>
        <w:rPr>
          <w:sz w:val="22"/>
        </w:rPr>
      </w:pPr>
      <w:r>
        <w:rPr>
          <w:color w:val="000000" w:themeColor="text1"/>
          <w:sz w:val="22"/>
        </w:rPr>
        <w:t>The a</w:t>
      </w:r>
      <w:r w:rsidR="00225C54">
        <w:rPr>
          <w:color w:val="000000" w:themeColor="text1"/>
          <w:sz w:val="22"/>
        </w:rPr>
        <w:t xml:space="preserve">verage cost for recruiting (advertising, admin, HR) a Band 5 nurse would be between £4,670 per nurse </w:t>
      </w:r>
      <w:proofErr w:type="gramStart"/>
      <w:r w:rsidR="00225C54">
        <w:rPr>
          <w:color w:val="000000" w:themeColor="text1"/>
          <w:sz w:val="22"/>
        </w:rPr>
        <w:t>i.e.</w:t>
      </w:r>
      <w:proofErr w:type="gramEnd"/>
      <w:r w:rsidR="002A1EEC">
        <w:rPr>
          <w:color w:val="000000" w:themeColor="text1"/>
          <w:sz w:val="22"/>
        </w:rPr>
        <w:t xml:space="preserve"> </w:t>
      </w:r>
      <w:r w:rsidR="00225C54" w:rsidRPr="00AE16EB">
        <w:rPr>
          <w:color w:val="000000" w:themeColor="text1"/>
          <w:sz w:val="22"/>
        </w:rPr>
        <w:t>£31</w:t>
      </w:r>
      <w:r w:rsidR="00225C54">
        <w:rPr>
          <w:color w:val="000000" w:themeColor="text1"/>
          <w:sz w:val="22"/>
        </w:rPr>
        <w:t>,</w:t>
      </w:r>
      <w:r w:rsidR="00225C54" w:rsidRPr="00AE16EB">
        <w:rPr>
          <w:color w:val="000000" w:themeColor="text1"/>
          <w:sz w:val="22"/>
        </w:rPr>
        <w:t>148 * 15%) to £7</w:t>
      </w:r>
      <w:r w:rsidR="00225C54">
        <w:rPr>
          <w:color w:val="000000" w:themeColor="text1"/>
          <w:sz w:val="22"/>
        </w:rPr>
        <w:t>,</w:t>
      </w:r>
      <w:r w:rsidR="00225C54" w:rsidRPr="00AE16EB">
        <w:rPr>
          <w:color w:val="000000" w:themeColor="text1"/>
          <w:sz w:val="22"/>
        </w:rPr>
        <w:t>545 (£37</w:t>
      </w:r>
      <w:r w:rsidR="00225C54">
        <w:rPr>
          <w:color w:val="000000" w:themeColor="text1"/>
          <w:sz w:val="22"/>
        </w:rPr>
        <w:t>,</w:t>
      </w:r>
      <w:r w:rsidR="00225C54" w:rsidRPr="00AE16EB">
        <w:rPr>
          <w:color w:val="000000" w:themeColor="text1"/>
          <w:sz w:val="22"/>
        </w:rPr>
        <w:t>726 * 20%).</w:t>
      </w:r>
      <w:r w:rsidR="00225C54">
        <w:rPr>
          <w:color w:val="000000" w:themeColor="text1"/>
          <w:sz w:val="22"/>
        </w:rPr>
        <w:t xml:space="preserve"> This calculation is based on adding 15-20% overhead contribution to the</w:t>
      </w:r>
      <w:r w:rsidR="002A1EEC">
        <w:rPr>
          <w:color w:val="000000" w:themeColor="text1"/>
          <w:sz w:val="22"/>
        </w:rPr>
        <w:t xml:space="preserve"> above</w:t>
      </w:r>
      <w:r w:rsidR="00225C54">
        <w:rPr>
          <w:color w:val="000000" w:themeColor="text1"/>
          <w:sz w:val="22"/>
        </w:rPr>
        <w:t xml:space="preserve"> costs.</w:t>
      </w:r>
    </w:p>
    <w:p w14:paraId="47AEED19" w14:textId="57206E5E" w:rsidR="00497560" w:rsidRDefault="00497560" w:rsidP="00E311F3">
      <w:pPr>
        <w:shd w:val="clear" w:color="auto" w:fill="FFFFFF" w:themeFill="background1"/>
        <w:rPr>
          <w:color w:val="0070C0"/>
          <w:sz w:val="28"/>
          <w:szCs w:val="28"/>
        </w:rPr>
      </w:pPr>
    </w:p>
    <w:p w14:paraId="1236F7D3" w14:textId="61CE0DCD" w:rsidR="00D92616" w:rsidRDefault="00D92616" w:rsidP="00E311F3">
      <w:pPr>
        <w:shd w:val="clear" w:color="auto" w:fill="FFFFFF" w:themeFill="background1"/>
        <w:rPr>
          <w:color w:val="0070C0"/>
          <w:sz w:val="28"/>
          <w:szCs w:val="28"/>
        </w:rPr>
      </w:pPr>
    </w:p>
    <w:p w14:paraId="38F45B7F" w14:textId="1166F1CE" w:rsidR="00D92616" w:rsidRDefault="00D92616" w:rsidP="00E311F3">
      <w:pPr>
        <w:shd w:val="clear" w:color="auto" w:fill="FFFFFF" w:themeFill="background1"/>
        <w:rPr>
          <w:color w:val="0070C0"/>
          <w:sz w:val="28"/>
          <w:szCs w:val="28"/>
        </w:rPr>
      </w:pPr>
    </w:p>
    <w:p w14:paraId="35571712" w14:textId="77777777" w:rsidR="00D92616" w:rsidRDefault="00D92616" w:rsidP="00E311F3">
      <w:pPr>
        <w:shd w:val="clear" w:color="auto" w:fill="FFFFFF" w:themeFill="background1"/>
        <w:rPr>
          <w:color w:val="0070C0"/>
          <w:sz w:val="28"/>
          <w:szCs w:val="28"/>
        </w:rPr>
      </w:pPr>
    </w:p>
    <w:p w14:paraId="42C91313" w14:textId="41D94814" w:rsidR="00E311F3" w:rsidRPr="00F84032" w:rsidRDefault="00C01725" w:rsidP="00E311F3">
      <w:pPr>
        <w:shd w:val="clear" w:color="auto" w:fill="FFFFFF" w:themeFill="background1"/>
        <w:rPr>
          <w:color w:val="0070C0"/>
          <w:sz w:val="28"/>
          <w:szCs w:val="28"/>
        </w:rPr>
      </w:pPr>
      <w:r>
        <w:rPr>
          <w:color w:val="0070C0"/>
          <w:sz w:val="28"/>
          <w:szCs w:val="28"/>
        </w:rPr>
        <w:t>Wh</w:t>
      </w:r>
      <w:r w:rsidR="00E311F3" w:rsidRPr="00F84032">
        <w:rPr>
          <w:color w:val="0070C0"/>
          <w:sz w:val="28"/>
          <w:szCs w:val="28"/>
        </w:rPr>
        <w:t>y Should Employers Invest?</w:t>
      </w:r>
    </w:p>
    <w:p w14:paraId="35EF82C2" w14:textId="77777777" w:rsidR="00497560" w:rsidRDefault="00E6495B" w:rsidP="00E311F3">
      <w:pPr>
        <w:spacing w:after="0"/>
        <w:rPr>
          <w:sz w:val="22"/>
        </w:rPr>
      </w:pPr>
      <w:r>
        <w:rPr>
          <w:sz w:val="22"/>
        </w:rPr>
        <w:t xml:space="preserve">The </w:t>
      </w:r>
      <w:hyperlink r:id="rId12" w:history="1">
        <w:r w:rsidRPr="00E6495B">
          <w:rPr>
            <w:rStyle w:val="Hyperlink"/>
            <w:sz w:val="22"/>
          </w:rPr>
          <w:t>NHS people plan</w:t>
        </w:r>
      </w:hyperlink>
      <w:r>
        <w:rPr>
          <w:sz w:val="22"/>
        </w:rPr>
        <w:t xml:space="preserve"> outlines the need for </w:t>
      </w:r>
      <w:r w:rsidRPr="00E6495B">
        <w:rPr>
          <w:sz w:val="22"/>
        </w:rPr>
        <w:t>action to grow our workforce, train our people, and work together differently to deliver patient care</w:t>
      </w:r>
      <w:r>
        <w:rPr>
          <w:sz w:val="22"/>
        </w:rPr>
        <w:t xml:space="preserve">. </w:t>
      </w:r>
      <w:r w:rsidR="00182384">
        <w:rPr>
          <w:sz w:val="22"/>
        </w:rPr>
        <w:t>There is evidence</w:t>
      </w:r>
      <w:r w:rsidR="005D2FD7">
        <w:rPr>
          <w:sz w:val="22"/>
        </w:rPr>
        <w:t xml:space="preserve"> to show that investment in preceptorship leads to improved retention</w:t>
      </w:r>
      <w:r w:rsidR="000F2770">
        <w:rPr>
          <w:sz w:val="22"/>
        </w:rPr>
        <w:t xml:space="preserve">. </w:t>
      </w:r>
    </w:p>
    <w:p w14:paraId="587D4FF9" w14:textId="77777777" w:rsidR="00497560" w:rsidRDefault="00497560" w:rsidP="00E311F3">
      <w:pPr>
        <w:spacing w:after="0"/>
        <w:rPr>
          <w:sz w:val="22"/>
        </w:rPr>
      </w:pPr>
    </w:p>
    <w:p w14:paraId="36ED8909" w14:textId="0C9EA610" w:rsidR="00E311F3" w:rsidRPr="00F84032" w:rsidRDefault="000F2770" w:rsidP="00E311F3">
      <w:pPr>
        <w:spacing w:after="0"/>
        <w:rPr>
          <w:sz w:val="22"/>
        </w:rPr>
      </w:pPr>
      <w:r>
        <w:rPr>
          <w:sz w:val="22"/>
        </w:rPr>
        <w:t>Graph 1</w:t>
      </w:r>
      <w:r w:rsidR="00E311F3" w:rsidRPr="00F84032">
        <w:rPr>
          <w:sz w:val="22"/>
        </w:rPr>
        <w:t xml:space="preserve"> </w:t>
      </w:r>
      <w:r>
        <w:rPr>
          <w:sz w:val="22"/>
        </w:rPr>
        <w:t>shows us that</w:t>
      </w:r>
      <w:r w:rsidR="00E311F3" w:rsidRPr="00F84032">
        <w:rPr>
          <w:sz w:val="22"/>
        </w:rPr>
        <w:t xml:space="preserve"> </w:t>
      </w:r>
      <w:r w:rsidR="00182384">
        <w:rPr>
          <w:sz w:val="22"/>
        </w:rPr>
        <w:t xml:space="preserve">that </w:t>
      </w:r>
      <w:r w:rsidR="00E311F3" w:rsidRPr="00F84032">
        <w:rPr>
          <w:sz w:val="22"/>
        </w:rPr>
        <w:t xml:space="preserve">the number of newly registered nursing and midwifery </w:t>
      </w:r>
      <w:r w:rsidR="00497560">
        <w:rPr>
          <w:sz w:val="22"/>
        </w:rPr>
        <w:t xml:space="preserve">staff </w:t>
      </w:r>
      <w:r w:rsidR="00E311F3" w:rsidRPr="00F84032">
        <w:rPr>
          <w:sz w:val="22"/>
        </w:rPr>
        <w:t>in London have remained working in London within the same professional group (i.e., haven’t moved into another role but remained within the NHS workforce).</w:t>
      </w:r>
    </w:p>
    <w:p w14:paraId="6E49B8BD" w14:textId="77777777" w:rsidR="004D494C" w:rsidRPr="00F84032" w:rsidRDefault="004D494C" w:rsidP="00E311F3">
      <w:pPr>
        <w:spacing w:after="0"/>
        <w:rPr>
          <w:sz w:val="22"/>
        </w:rPr>
      </w:pPr>
    </w:p>
    <w:p w14:paraId="4E29730C" w14:textId="10B28A34" w:rsidR="00497560" w:rsidRPr="00497560" w:rsidRDefault="00497560" w:rsidP="00497560">
      <w:pPr>
        <w:rPr>
          <w:sz w:val="20"/>
        </w:rPr>
      </w:pPr>
      <w:r w:rsidRPr="00497560">
        <w:rPr>
          <w:sz w:val="22"/>
        </w:rPr>
        <w:t xml:space="preserve">The number of newly registered nurses </w:t>
      </w:r>
      <w:r w:rsidRPr="00497560">
        <w:rPr>
          <w:iCs/>
          <w:sz w:val="22"/>
        </w:rPr>
        <w:t>retained</w:t>
      </w:r>
      <w:r w:rsidRPr="00497560">
        <w:rPr>
          <w:sz w:val="22"/>
        </w:rPr>
        <w:t xml:space="preserve"> was 82% (2018), and 86% (2019) based on data captured between 2013 and 2019 in London since the introduction of the </w:t>
      </w:r>
      <w:proofErr w:type="spellStart"/>
      <w:r w:rsidRPr="00497560">
        <w:rPr>
          <w:sz w:val="22"/>
        </w:rPr>
        <w:t>CapitalNurse</w:t>
      </w:r>
      <w:proofErr w:type="spellEnd"/>
      <w:r w:rsidRPr="00497560">
        <w:rPr>
          <w:sz w:val="22"/>
        </w:rPr>
        <w:t xml:space="preserve"> Preceptorship programme.  Investment in quality preceptorship programmes facilitate retention of newly registered staff and provides a return on investment.</w:t>
      </w:r>
    </w:p>
    <w:p w14:paraId="3C4F4B70" w14:textId="7848663A" w:rsidR="00C627E9" w:rsidRDefault="00C627E9" w:rsidP="00E311F3">
      <w:pPr>
        <w:shd w:val="clear" w:color="auto" w:fill="FFFFFF" w:themeFill="background1"/>
        <w:rPr>
          <w:color w:val="0070C0"/>
          <w:sz w:val="22"/>
        </w:rPr>
      </w:pPr>
      <w:r>
        <w:rPr>
          <w:noProof/>
        </w:rPr>
        <w:drawing>
          <wp:inline distT="0" distB="0" distL="0" distR="0" wp14:anchorId="46971AD3" wp14:editId="3DEAEB0F">
            <wp:extent cx="6512560" cy="4175760"/>
            <wp:effectExtent l="0" t="0" r="2540" b="0"/>
            <wp:docPr id="2" name="Retention Overview" descr="Retention_Overview_2022-08-03T12:58:05.465Z">
              <a:extLst xmlns:a="http://schemas.openxmlformats.org/drawingml/2006/main">
                <a:ext uri="{FF2B5EF4-FFF2-40B4-BE49-F238E27FC236}">
                  <a16:creationId xmlns:a16="http://schemas.microsoft.com/office/drawing/2014/main" id="{C5CF4DA4-082D-C51E-C57A-3B59BE6ADE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tention Overview" descr="Retention_Overview_2022-08-03T12:58:05.465Z">
                      <a:extLst>
                        <a:ext uri="{FF2B5EF4-FFF2-40B4-BE49-F238E27FC236}">
                          <a16:creationId xmlns:a16="http://schemas.microsoft.com/office/drawing/2014/main" id="{C5CF4DA4-082D-C51E-C57A-3B59BE6ADE9F}"/>
                        </a:ext>
                      </a:extLst>
                    </pic:cNvPr>
                    <pic:cNvPicPr>
                      <a:picLocks noChangeAspect="1"/>
                    </pic:cNvPicPr>
                  </pic:nvPicPr>
                  <pic:blipFill>
                    <a:blip r:embed="rId13"/>
                    <a:stretch>
                      <a:fillRect/>
                    </a:stretch>
                  </pic:blipFill>
                  <pic:spPr>
                    <a:xfrm>
                      <a:off x="0" y="0"/>
                      <a:ext cx="6525856" cy="4184285"/>
                    </a:xfrm>
                    <a:prstGeom prst="rect">
                      <a:avLst/>
                    </a:prstGeom>
                  </pic:spPr>
                </pic:pic>
              </a:graphicData>
            </a:graphic>
          </wp:inline>
        </w:drawing>
      </w:r>
    </w:p>
    <w:p w14:paraId="0C86BFBA" w14:textId="581CFD43" w:rsidR="00C627E9" w:rsidRDefault="00C627E9" w:rsidP="00C627E9">
      <w:pPr>
        <w:rPr>
          <w:sz w:val="22"/>
        </w:rPr>
      </w:pPr>
    </w:p>
    <w:p w14:paraId="660C567D" w14:textId="1F4C0555" w:rsidR="0092621C" w:rsidRPr="00C627E9" w:rsidRDefault="00C627E9" w:rsidP="00C627E9">
      <w:pPr>
        <w:tabs>
          <w:tab w:val="left" w:pos="2604"/>
        </w:tabs>
        <w:ind w:left="360"/>
        <w:rPr>
          <w:sz w:val="22"/>
        </w:rPr>
      </w:pPr>
      <w:r>
        <w:rPr>
          <w:sz w:val="22"/>
        </w:rPr>
        <w:t>Graph One</w:t>
      </w:r>
      <w:r w:rsidR="00B7349D" w:rsidRPr="00C627E9">
        <w:rPr>
          <w:sz w:val="22"/>
        </w:rPr>
        <w:t xml:space="preserve"> shows the number of newly qualified registered nursing staff in London who have remained working in London within ESR (i.e., have remained in the NHS workforce, but could have moved into a different profession or region).</w:t>
      </w:r>
    </w:p>
    <w:p w14:paraId="025EDDAB" w14:textId="77777777" w:rsidR="0092621C" w:rsidRPr="00C627E9" w:rsidRDefault="00B7349D" w:rsidP="00C627E9">
      <w:pPr>
        <w:tabs>
          <w:tab w:val="left" w:pos="2604"/>
        </w:tabs>
        <w:ind w:left="360"/>
        <w:rPr>
          <w:sz w:val="22"/>
        </w:rPr>
      </w:pPr>
      <w:r w:rsidRPr="00C627E9">
        <w:rPr>
          <w:sz w:val="22"/>
        </w:rPr>
        <w:t>Between 2013 and 2019 between 10% (2019) and 14% (2016) of NQ staff on longer work in the NHS within one year.</w:t>
      </w:r>
    </w:p>
    <w:p w14:paraId="6B2CD99D" w14:textId="0C7745D8" w:rsidR="00E311F3" w:rsidRPr="00C627E9" w:rsidRDefault="00E311F3" w:rsidP="00C627E9">
      <w:pPr>
        <w:tabs>
          <w:tab w:val="left" w:pos="2604"/>
        </w:tabs>
        <w:rPr>
          <w:sz w:val="22"/>
        </w:rPr>
      </w:pPr>
    </w:p>
    <w:p w14:paraId="490DCF18" w14:textId="17D553A9" w:rsidR="00E311F3" w:rsidRPr="00F84032" w:rsidRDefault="00E311F3" w:rsidP="00E311F3">
      <w:pPr>
        <w:rPr>
          <w:sz w:val="22"/>
        </w:rPr>
      </w:pPr>
    </w:p>
    <w:p w14:paraId="3303F3B4" w14:textId="77777777" w:rsidR="00F84032" w:rsidRPr="00F84032" w:rsidRDefault="00F84032" w:rsidP="00E311F3">
      <w:pPr>
        <w:shd w:val="clear" w:color="auto" w:fill="FFFFFF" w:themeFill="background1"/>
        <w:rPr>
          <w:color w:val="0070C0"/>
          <w:sz w:val="22"/>
        </w:rPr>
      </w:pPr>
    </w:p>
    <w:p w14:paraId="5689BB3C" w14:textId="62CBA178" w:rsidR="009E40F2" w:rsidRDefault="009E40F2" w:rsidP="009E40F2">
      <w:pPr>
        <w:shd w:val="clear" w:color="auto" w:fill="FFFFFF" w:themeFill="background1"/>
        <w:rPr>
          <w:sz w:val="22"/>
        </w:rPr>
      </w:pPr>
      <w:r>
        <w:rPr>
          <w:sz w:val="22"/>
        </w:rPr>
        <w:t>G</w:t>
      </w:r>
      <w:r w:rsidRPr="00D20519">
        <w:rPr>
          <w:sz w:val="22"/>
        </w:rPr>
        <w:t>raph</w:t>
      </w:r>
      <w:r>
        <w:rPr>
          <w:sz w:val="22"/>
        </w:rPr>
        <w:t xml:space="preserve"> 2 and graph 3</w:t>
      </w:r>
      <w:r w:rsidRPr="00D20519">
        <w:rPr>
          <w:sz w:val="22"/>
        </w:rPr>
        <w:t xml:space="preserve"> show the retention proportions of nurses from cohorts between 2017-2021</w:t>
      </w:r>
      <w:r>
        <w:rPr>
          <w:sz w:val="22"/>
        </w:rPr>
        <w:t>.</w:t>
      </w:r>
    </w:p>
    <w:p w14:paraId="16AFBD2F" w14:textId="77777777" w:rsidR="009E40F2" w:rsidRPr="00F84032" w:rsidRDefault="009E40F2" w:rsidP="009E40F2">
      <w:pPr>
        <w:shd w:val="clear" w:color="auto" w:fill="FFFFFF" w:themeFill="background1"/>
        <w:rPr>
          <w:sz w:val="22"/>
        </w:rPr>
      </w:pPr>
      <w:bookmarkStart w:id="0" w:name="_Hlk102643029"/>
      <w:r w:rsidRPr="00F84032">
        <w:rPr>
          <w:sz w:val="22"/>
        </w:rPr>
        <w:t xml:space="preserve">For this analysis the nurses in the cohorts </w:t>
      </w:r>
      <w:r>
        <w:rPr>
          <w:sz w:val="22"/>
        </w:rPr>
        <w:t>were</w:t>
      </w:r>
      <w:r w:rsidRPr="00F84032">
        <w:rPr>
          <w:sz w:val="22"/>
        </w:rPr>
        <w:t xml:space="preserve"> filtered by the following requirements</w:t>
      </w:r>
      <w:bookmarkEnd w:id="0"/>
      <w:r w:rsidRPr="00F84032">
        <w:rPr>
          <w:sz w:val="22"/>
        </w:rPr>
        <w:t>:</w:t>
      </w:r>
    </w:p>
    <w:p w14:paraId="6EF96B72" w14:textId="77777777" w:rsidR="009E40F2" w:rsidRPr="002A6C26" w:rsidRDefault="009E40F2" w:rsidP="009E40F2">
      <w:pPr>
        <w:pStyle w:val="ListParagraph"/>
        <w:numPr>
          <w:ilvl w:val="0"/>
          <w:numId w:val="6"/>
        </w:numPr>
        <w:spacing w:after="0" w:line="240" w:lineRule="auto"/>
        <w:contextualSpacing w:val="0"/>
        <w:rPr>
          <w:rFonts w:eastAsiaTheme="minorHAnsi"/>
          <w:sz w:val="22"/>
          <w:szCs w:val="22"/>
          <w:lang w:val="en-GB"/>
        </w:rPr>
      </w:pPr>
      <w:r w:rsidRPr="002A6C26">
        <w:rPr>
          <w:rFonts w:eastAsiaTheme="minorHAnsi"/>
          <w:sz w:val="22"/>
          <w:szCs w:val="22"/>
          <w:lang w:val="en-GB"/>
        </w:rPr>
        <w:t>Nursing &amp; midwifery workforce is defined an individual being employed on a substantive contract with an occupation code defined by the NHS Occupation Code manual that means they work in the nursing &amp; midwifery workforce.</w:t>
      </w:r>
    </w:p>
    <w:p w14:paraId="719BD72B" w14:textId="49FAFBD9" w:rsidR="009E40F2" w:rsidRPr="002A6C26" w:rsidRDefault="009E40F2" w:rsidP="009E40F2">
      <w:pPr>
        <w:pStyle w:val="ListParagraph"/>
        <w:numPr>
          <w:ilvl w:val="0"/>
          <w:numId w:val="6"/>
        </w:numPr>
        <w:spacing w:after="0" w:line="240" w:lineRule="auto"/>
        <w:contextualSpacing w:val="0"/>
        <w:rPr>
          <w:rFonts w:eastAsiaTheme="minorHAnsi"/>
          <w:sz w:val="22"/>
          <w:szCs w:val="22"/>
          <w:lang w:val="en-GB"/>
        </w:rPr>
      </w:pPr>
      <w:r w:rsidRPr="002A6C26">
        <w:rPr>
          <w:rFonts w:eastAsiaTheme="minorHAnsi"/>
          <w:sz w:val="22"/>
          <w:szCs w:val="22"/>
          <w:lang w:val="en-GB"/>
        </w:rPr>
        <w:t xml:space="preserve">A member of staff is defined as Newly </w:t>
      </w:r>
      <w:r w:rsidR="00DC6DA8">
        <w:rPr>
          <w:rFonts w:eastAsiaTheme="minorHAnsi"/>
          <w:sz w:val="22"/>
          <w:szCs w:val="22"/>
          <w:lang w:val="en-GB"/>
        </w:rPr>
        <w:t>regi</w:t>
      </w:r>
      <w:r w:rsidR="008874C0">
        <w:rPr>
          <w:rFonts w:eastAsiaTheme="minorHAnsi"/>
          <w:sz w:val="22"/>
          <w:szCs w:val="22"/>
          <w:lang w:val="en-GB"/>
        </w:rPr>
        <w:t>s</w:t>
      </w:r>
      <w:r w:rsidR="00DC6DA8">
        <w:rPr>
          <w:rFonts w:eastAsiaTheme="minorHAnsi"/>
          <w:sz w:val="22"/>
          <w:szCs w:val="22"/>
          <w:lang w:val="en-GB"/>
        </w:rPr>
        <w:t>tered</w:t>
      </w:r>
      <w:r w:rsidRPr="002A6C26">
        <w:rPr>
          <w:rFonts w:eastAsiaTheme="minorHAnsi"/>
          <w:sz w:val="22"/>
          <w:szCs w:val="22"/>
          <w:lang w:val="en-GB"/>
        </w:rPr>
        <w:t xml:space="preserve"> if they were employed in an </w:t>
      </w:r>
      <w:proofErr w:type="spellStart"/>
      <w:r w:rsidRPr="002A6C26">
        <w:rPr>
          <w:rFonts w:eastAsiaTheme="minorHAnsi"/>
          <w:sz w:val="22"/>
          <w:szCs w:val="22"/>
          <w:lang w:val="en-GB"/>
        </w:rPr>
        <w:t>AfC</w:t>
      </w:r>
      <w:proofErr w:type="spellEnd"/>
      <w:r w:rsidRPr="002A6C26">
        <w:rPr>
          <w:rFonts w:eastAsiaTheme="minorHAnsi"/>
          <w:sz w:val="22"/>
          <w:szCs w:val="22"/>
          <w:lang w:val="en-GB"/>
        </w:rPr>
        <w:t xml:space="preserve"> Band 5 role on the bottom spine point and had not previous been employed on ESR in a nursing &amp; midwifery role.</w:t>
      </w:r>
    </w:p>
    <w:p w14:paraId="029A760D" w14:textId="77777777" w:rsidR="009E40F2" w:rsidRPr="002A6C26" w:rsidRDefault="009E40F2" w:rsidP="009E40F2">
      <w:pPr>
        <w:pStyle w:val="ListParagraph"/>
        <w:numPr>
          <w:ilvl w:val="0"/>
          <w:numId w:val="6"/>
        </w:numPr>
        <w:spacing w:after="0" w:line="240" w:lineRule="auto"/>
        <w:contextualSpacing w:val="0"/>
        <w:rPr>
          <w:rFonts w:eastAsiaTheme="minorHAnsi"/>
          <w:sz w:val="22"/>
          <w:szCs w:val="22"/>
          <w:lang w:val="en-GB"/>
        </w:rPr>
      </w:pPr>
      <w:r w:rsidRPr="002A6C26">
        <w:rPr>
          <w:rFonts w:eastAsiaTheme="minorHAnsi"/>
          <w:sz w:val="22"/>
          <w:szCs w:val="22"/>
          <w:lang w:val="en-GB"/>
        </w:rPr>
        <w:t>Those identified as NQ nurses &amp; midwives were then tracked over each following year’s data to identify whether they remained within the profession within London.</w:t>
      </w:r>
    </w:p>
    <w:p w14:paraId="6FD3429F" w14:textId="77777777" w:rsidR="009E40F2" w:rsidRPr="00D20519" w:rsidRDefault="009E40F2" w:rsidP="009E40F2">
      <w:pPr>
        <w:shd w:val="clear" w:color="auto" w:fill="FFFFFF" w:themeFill="background1"/>
        <w:rPr>
          <w:sz w:val="22"/>
        </w:rPr>
      </w:pPr>
    </w:p>
    <w:p w14:paraId="7CE0D518" w14:textId="2696867A" w:rsidR="009E40F2" w:rsidRPr="00F84032" w:rsidRDefault="001D2A0E" w:rsidP="009E40F2">
      <w:pPr>
        <w:spacing w:after="0"/>
        <w:rPr>
          <w:sz w:val="22"/>
        </w:rPr>
      </w:pPr>
      <w:r>
        <w:rPr>
          <w:sz w:val="22"/>
        </w:rPr>
        <w:t>Graph</w:t>
      </w:r>
      <w:r w:rsidR="009E40F2">
        <w:rPr>
          <w:sz w:val="22"/>
        </w:rPr>
        <w:t xml:space="preserve"> 2 shows an improvement in staff retention in 2021 which is a positive outcome of launching </w:t>
      </w:r>
      <w:hyperlink r:id="rId14" w:history="1">
        <w:proofErr w:type="spellStart"/>
        <w:r w:rsidR="009E40F2" w:rsidRPr="00AF4305">
          <w:rPr>
            <w:rStyle w:val="Hyperlink"/>
            <w:sz w:val="22"/>
          </w:rPr>
          <w:t>CapitalNurse</w:t>
        </w:r>
        <w:proofErr w:type="spellEnd"/>
      </w:hyperlink>
      <w:r w:rsidR="009E40F2">
        <w:rPr>
          <w:sz w:val="22"/>
        </w:rPr>
        <w:t xml:space="preserve">. This in comparison to the data in Graph 3 shows a decline in staff retention across England in the same time frame.  </w:t>
      </w:r>
    </w:p>
    <w:p w14:paraId="32B9D33B" w14:textId="77777777" w:rsidR="00F84032" w:rsidRPr="00F84032" w:rsidRDefault="00F84032" w:rsidP="00E311F3">
      <w:pPr>
        <w:shd w:val="clear" w:color="auto" w:fill="FFFFFF" w:themeFill="background1"/>
        <w:rPr>
          <w:color w:val="0070C0"/>
          <w:sz w:val="22"/>
        </w:rPr>
      </w:pPr>
    </w:p>
    <w:p w14:paraId="2DAD4CB6" w14:textId="43E77EDD" w:rsidR="00E311F3" w:rsidRPr="00F84032" w:rsidRDefault="005726DD" w:rsidP="00E311F3">
      <w:pPr>
        <w:shd w:val="clear" w:color="auto" w:fill="FFFFFF" w:themeFill="background1"/>
        <w:rPr>
          <w:color w:val="0070C0"/>
          <w:sz w:val="28"/>
          <w:szCs w:val="28"/>
        </w:rPr>
      </w:pPr>
      <w:r>
        <w:rPr>
          <w:color w:val="0070C0"/>
          <w:sz w:val="28"/>
          <w:szCs w:val="28"/>
        </w:rPr>
        <w:t>Analysis of nursing and midwifery workforce turnover in London</w:t>
      </w:r>
    </w:p>
    <w:p w14:paraId="6C649F2E" w14:textId="7D5D118B" w:rsidR="00E311F3" w:rsidRPr="00F84032" w:rsidRDefault="005726DD" w:rsidP="00E311F3">
      <w:pPr>
        <w:rPr>
          <w:sz w:val="22"/>
        </w:rPr>
      </w:pPr>
      <w:r>
        <w:rPr>
          <w:noProof/>
          <w:lang w:eastAsia="en-GB"/>
        </w:rPr>
        <w:drawing>
          <wp:inline distT="0" distB="0" distL="0" distR="0" wp14:anchorId="76770D4F" wp14:editId="228761BC">
            <wp:extent cx="4166347" cy="2576644"/>
            <wp:effectExtent l="0" t="0" r="5715" b="0"/>
            <wp:docPr id="8" name="Picture 7" descr="Chart, line chart&#10;&#10;Description automatically generated">
              <a:extLst xmlns:a="http://schemas.openxmlformats.org/drawingml/2006/main">
                <a:ext uri="{FF2B5EF4-FFF2-40B4-BE49-F238E27FC236}">
                  <a16:creationId xmlns:a16="http://schemas.microsoft.com/office/drawing/2014/main" id="{BEDE41AB-41A8-4BF8-BCC1-86FB00F5E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hart, line chart&#10;&#10;Description automatically generated">
                      <a:extLst>
                        <a:ext uri="{FF2B5EF4-FFF2-40B4-BE49-F238E27FC236}">
                          <a16:creationId xmlns:a16="http://schemas.microsoft.com/office/drawing/2014/main" id="{BEDE41AB-41A8-4BF8-BCC1-86FB00F5E03C}"/>
                        </a:ext>
                      </a:extLst>
                    </pic:cNvPr>
                    <pic:cNvPicPr>
                      <a:picLocks noChangeAspect="1"/>
                    </pic:cNvPicPr>
                  </pic:nvPicPr>
                  <pic:blipFill>
                    <a:blip r:embed="rId15"/>
                    <a:stretch>
                      <a:fillRect/>
                    </a:stretch>
                  </pic:blipFill>
                  <pic:spPr>
                    <a:xfrm>
                      <a:off x="0" y="0"/>
                      <a:ext cx="4176704" cy="2583049"/>
                    </a:xfrm>
                    <a:prstGeom prst="rect">
                      <a:avLst/>
                    </a:prstGeom>
                  </pic:spPr>
                </pic:pic>
              </a:graphicData>
            </a:graphic>
          </wp:inline>
        </w:drawing>
      </w:r>
    </w:p>
    <w:p w14:paraId="1BA30BCA" w14:textId="0D0D103B" w:rsidR="0053336A" w:rsidRPr="00F84032" w:rsidRDefault="001D2A0E" w:rsidP="0053336A">
      <w:pPr>
        <w:shd w:val="clear" w:color="auto" w:fill="FFFFFF" w:themeFill="background1"/>
        <w:rPr>
          <w:color w:val="0070C0"/>
          <w:sz w:val="22"/>
        </w:rPr>
      </w:pPr>
      <w:r>
        <w:rPr>
          <w:sz w:val="22"/>
        </w:rPr>
        <w:t xml:space="preserve">Graph 2: </w:t>
      </w:r>
      <w:r w:rsidR="0053336A" w:rsidRPr="00E4472A">
        <w:rPr>
          <w:sz w:val="22"/>
        </w:rPr>
        <w:t>Data Source</w:t>
      </w:r>
      <w:r>
        <w:rPr>
          <w:sz w:val="22"/>
        </w:rPr>
        <w:t xml:space="preserve"> -</w:t>
      </w:r>
      <w:r w:rsidR="0053336A" w:rsidRPr="00E4472A">
        <w:rPr>
          <w:sz w:val="22"/>
        </w:rPr>
        <w:t xml:space="preserve"> ESR data via HEE London ESR Retention Dashboard</w:t>
      </w:r>
      <w:r w:rsidR="0053336A" w:rsidRPr="00F84032">
        <w:rPr>
          <w:sz w:val="22"/>
        </w:rPr>
        <w:t>.</w:t>
      </w:r>
    </w:p>
    <w:p w14:paraId="62929E4F" w14:textId="2DD020A8" w:rsidR="004D494C" w:rsidRPr="00F84032" w:rsidRDefault="004D494C" w:rsidP="00E311F3">
      <w:pPr>
        <w:shd w:val="clear" w:color="auto" w:fill="FFFFFF" w:themeFill="background1"/>
        <w:rPr>
          <w:color w:val="0070C0"/>
          <w:sz w:val="22"/>
        </w:rPr>
      </w:pPr>
    </w:p>
    <w:p w14:paraId="6ADC2B5F" w14:textId="1CCABD03" w:rsidR="00E311F3" w:rsidRPr="00F84032" w:rsidRDefault="00FC49BA" w:rsidP="00E311F3">
      <w:pPr>
        <w:shd w:val="clear" w:color="auto" w:fill="FFFFFF" w:themeFill="background1"/>
        <w:rPr>
          <w:color w:val="0070C0"/>
          <w:sz w:val="28"/>
          <w:szCs w:val="28"/>
        </w:rPr>
      </w:pPr>
      <w:r>
        <w:rPr>
          <w:color w:val="0070C0"/>
          <w:sz w:val="28"/>
          <w:szCs w:val="28"/>
        </w:rPr>
        <w:t xml:space="preserve">Registered nursing and midwifery </w:t>
      </w:r>
      <w:r w:rsidR="00E311F3" w:rsidRPr="00F84032">
        <w:rPr>
          <w:color w:val="0070C0"/>
          <w:sz w:val="28"/>
          <w:szCs w:val="28"/>
        </w:rPr>
        <w:t xml:space="preserve">workforce </w:t>
      </w:r>
      <w:r>
        <w:rPr>
          <w:color w:val="0070C0"/>
          <w:sz w:val="28"/>
          <w:szCs w:val="28"/>
        </w:rPr>
        <w:t>turnover in</w:t>
      </w:r>
      <w:r w:rsidR="00E311F3" w:rsidRPr="00F84032">
        <w:rPr>
          <w:color w:val="0070C0"/>
          <w:sz w:val="28"/>
          <w:szCs w:val="28"/>
        </w:rPr>
        <w:t xml:space="preserve"> England </w:t>
      </w:r>
    </w:p>
    <w:p w14:paraId="1B78C158" w14:textId="77777777" w:rsidR="00E311F3" w:rsidRPr="00F84032" w:rsidRDefault="00E311F3" w:rsidP="00E311F3">
      <w:pPr>
        <w:rPr>
          <w:sz w:val="22"/>
        </w:rPr>
      </w:pPr>
      <w:r w:rsidRPr="00F84032">
        <w:rPr>
          <w:noProof/>
          <w:sz w:val="22"/>
          <w:lang w:eastAsia="en-GB"/>
        </w:rPr>
        <w:lastRenderedPageBreak/>
        <w:drawing>
          <wp:inline distT="0" distB="0" distL="0" distR="0" wp14:anchorId="41EB15EE" wp14:editId="350945FD">
            <wp:extent cx="4341844" cy="2659380"/>
            <wp:effectExtent l="0" t="0" r="1905" b="7620"/>
            <wp:docPr id="1418851848" name="Picture 141885184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851848" name="Picture 1418851848" descr="Chart, line char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4368654" cy="2675801"/>
                    </a:xfrm>
                    <a:prstGeom prst="rect">
                      <a:avLst/>
                    </a:prstGeom>
                  </pic:spPr>
                </pic:pic>
              </a:graphicData>
            </a:graphic>
          </wp:inline>
        </w:drawing>
      </w:r>
    </w:p>
    <w:p w14:paraId="3066083F" w14:textId="4F92248A" w:rsidR="0053336A" w:rsidRPr="00F84032" w:rsidRDefault="001D2A0E" w:rsidP="0053336A">
      <w:pPr>
        <w:shd w:val="clear" w:color="auto" w:fill="FFFFFF" w:themeFill="background1"/>
        <w:rPr>
          <w:color w:val="0070C0"/>
          <w:sz w:val="22"/>
        </w:rPr>
      </w:pPr>
      <w:r>
        <w:rPr>
          <w:sz w:val="22"/>
        </w:rPr>
        <w:t xml:space="preserve">Graph 3: </w:t>
      </w:r>
      <w:r w:rsidR="0053336A" w:rsidRPr="00E4472A">
        <w:rPr>
          <w:sz w:val="22"/>
        </w:rPr>
        <w:t>Data Source</w:t>
      </w:r>
      <w:r>
        <w:rPr>
          <w:sz w:val="22"/>
        </w:rPr>
        <w:t xml:space="preserve"> -</w:t>
      </w:r>
      <w:r w:rsidR="0053336A" w:rsidRPr="00E4472A">
        <w:rPr>
          <w:sz w:val="22"/>
        </w:rPr>
        <w:t xml:space="preserve"> ESR data via HEE London ESR Retention Dashboard</w:t>
      </w:r>
      <w:r w:rsidR="0053336A" w:rsidRPr="00F84032">
        <w:rPr>
          <w:sz w:val="22"/>
        </w:rPr>
        <w:t>.</w:t>
      </w:r>
    </w:p>
    <w:p w14:paraId="029DFAC1" w14:textId="77777777" w:rsidR="00E311F3" w:rsidRPr="00F84032" w:rsidRDefault="00E311F3" w:rsidP="00E311F3">
      <w:pPr>
        <w:shd w:val="clear" w:color="auto" w:fill="FFFFFF" w:themeFill="background1"/>
        <w:rPr>
          <w:sz w:val="22"/>
        </w:rPr>
      </w:pPr>
    </w:p>
    <w:p w14:paraId="3AEBF0BF" w14:textId="77777777" w:rsidR="00B47131" w:rsidRPr="00F84032" w:rsidRDefault="00B47131" w:rsidP="00B47131">
      <w:pPr>
        <w:shd w:val="clear" w:color="auto" w:fill="FFFFFF" w:themeFill="background1"/>
        <w:rPr>
          <w:color w:val="0070C0"/>
          <w:sz w:val="28"/>
          <w:szCs w:val="28"/>
        </w:rPr>
      </w:pPr>
      <w:r w:rsidRPr="00F84032">
        <w:rPr>
          <w:color w:val="0070C0"/>
          <w:sz w:val="28"/>
          <w:szCs w:val="28"/>
        </w:rPr>
        <w:t>Authors</w:t>
      </w:r>
    </w:p>
    <w:p w14:paraId="087FA722" w14:textId="77777777" w:rsidR="00B47131" w:rsidRPr="00F84032" w:rsidRDefault="00B47131" w:rsidP="00B47131">
      <w:pPr>
        <w:shd w:val="clear" w:color="auto" w:fill="FFFFFF" w:themeFill="background1"/>
        <w:rPr>
          <w:sz w:val="22"/>
        </w:rPr>
      </w:pPr>
      <w:r w:rsidRPr="00F84032">
        <w:rPr>
          <w:sz w:val="22"/>
        </w:rPr>
        <w:t>Desiree Cox, Programme Lead</w:t>
      </w:r>
    </w:p>
    <w:p w14:paraId="243B6B5E" w14:textId="77777777" w:rsidR="00B47131" w:rsidRDefault="00B47131" w:rsidP="00B47131">
      <w:pPr>
        <w:shd w:val="clear" w:color="auto" w:fill="FFFFFF" w:themeFill="background1"/>
        <w:rPr>
          <w:sz w:val="22"/>
        </w:rPr>
      </w:pPr>
      <w:r w:rsidRPr="00F84032">
        <w:rPr>
          <w:sz w:val="22"/>
        </w:rPr>
        <w:t>Jane Wray, Clinical Advisor</w:t>
      </w:r>
    </w:p>
    <w:p w14:paraId="1692A87A" w14:textId="77777777" w:rsidR="00B47131" w:rsidRPr="00F84032" w:rsidRDefault="00B47131" w:rsidP="00B47131">
      <w:pPr>
        <w:shd w:val="clear" w:color="auto" w:fill="FFFFFF" w:themeFill="background1"/>
        <w:rPr>
          <w:sz w:val="22"/>
        </w:rPr>
      </w:pPr>
      <w:r>
        <w:rPr>
          <w:sz w:val="22"/>
        </w:rPr>
        <w:t>Raleen Fernandes, Project Manager</w:t>
      </w:r>
    </w:p>
    <w:p w14:paraId="1356140F" w14:textId="3FCED07B" w:rsidR="00B47131" w:rsidRPr="00F84032" w:rsidRDefault="00B47131" w:rsidP="00B47131">
      <w:pPr>
        <w:shd w:val="clear" w:color="auto" w:fill="FFFFFF" w:themeFill="background1"/>
        <w:rPr>
          <w:color w:val="0070C0"/>
          <w:sz w:val="28"/>
          <w:szCs w:val="28"/>
        </w:rPr>
      </w:pPr>
      <w:r w:rsidRPr="00F84032">
        <w:rPr>
          <w:color w:val="0070C0"/>
          <w:sz w:val="28"/>
          <w:szCs w:val="28"/>
        </w:rPr>
        <w:t>Contributors</w:t>
      </w:r>
    </w:p>
    <w:p w14:paraId="6E4A7EB6" w14:textId="0573A274" w:rsidR="00B47131" w:rsidRPr="00B47131" w:rsidRDefault="00B47131" w:rsidP="00B47131">
      <w:pPr>
        <w:rPr>
          <w:rFonts w:ascii="Calibri" w:hAnsi="Calibri"/>
          <w:sz w:val="22"/>
        </w:rPr>
      </w:pPr>
      <w:r w:rsidRPr="00F84032">
        <w:rPr>
          <w:sz w:val="22"/>
        </w:rPr>
        <w:t xml:space="preserve">Matthew </w:t>
      </w:r>
      <w:proofErr w:type="spellStart"/>
      <w:r w:rsidRPr="00F84032">
        <w:rPr>
          <w:sz w:val="22"/>
        </w:rPr>
        <w:t>Rassell</w:t>
      </w:r>
      <w:proofErr w:type="spellEnd"/>
      <w:r w:rsidRPr="00F84032">
        <w:rPr>
          <w:sz w:val="22"/>
        </w:rPr>
        <w:t xml:space="preserve">, </w:t>
      </w:r>
      <w:r w:rsidRPr="00F84032">
        <w:rPr>
          <w:rFonts w:cs="Arial"/>
          <w:sz w:val="22"/>
        </w:rPr>
        <w:t>Workforce Planning Lead, London Workforce and Intelligence Team, Health Education England</w:t>
      </w:r>
    </w:p>
    <w:p w14:paraId="6B9C8DEA" w14:textId="0FDDC3DC" w:rsidR="00E311F3" w:rsidRPr="00F84032" w:rsidRDefault="00E311F3" w:rsidP="00E311F3">
      <w:pPr>
        <w:shd w:val="clear" w:color="auto" w:fill="FFFFFF" w:themeFill="background1"/>
        <w:rPr>
          <w:color w:val="0070C0"/>
          <w:sz w:val="28"/>
          <w:szCs w:val="28"/>
        </w:rPr>
      </w:pPr>
      <w:r w:rsidRPr="00F84032">
        <w:rPr>
          <w:color w:val="0070C0"/>
          <w:sz w:val="28"/>
          <w:szCs w:val="28"/>
        </w:rPr>
        <w:t>References</w:t>
      </w:r>
    </w:p>
    <w:p w14:paraId="4F259BE5" w14:textId="5E65FAB8" w:rsidR="005A0BCE" w:rsidRPr="00497560" w:rsidRDefault="00400AAE" w:rsidP="00400AAE">
      <w:pPr>
        <w:pStyle w:val="ListParagraph"/>
        <w:numPr>
          <w:ilvl w:val="0"/>
          <w:numId w:val="7"/>
        </w:numPr>
        <w:rPr>
          <w:rFonts w:cs="Arial"/>
          <w:sz w:val="22"/>
        </w:rPr>
      </w:pPr>
      <w:proofErr w:type="spellStart"/>
      <w:r w:rsidRPr="00497560">
        <w:rPr>
          <w:rFonts w:cs="Arial"/>
          <w:sz w:val="22"/>
        </w:rPr>
        <w:t>CapitalNurse</w:t>
      </w:r>
      <w:proofErr w:type="spellEnd"/>
      <w:r w:rsidRPr="00497560">
        <w:rPr>
          <w:rFonts w:cs="Arial"/>
          <w:sz w:val="22"/>
        </w:rPr>
        <w:t xml:space="preserve"> business case template</w:t>
      </w:r>
    </w:p>
    <w:p w14:paraId="09505A69" w14:textId="278805EC" w:rsidR="00400AAE" w:rsidRPr="00497560" w:rsidRDefault="00640E35" w:rsidP="00400AAE">
      <w:pPr>
        <w:pStyle w:val="ListParagraph"/>
        <w:numPr>
          <w:ilvl w:val="0"/>
          <w:numId w:val="7"/>
        </w:numPr>
        <w:rPr>
          <w:rFonts w:cs="Arial"/>
          <w:sz w:val="22"/>
        </w:rPr>
      </w:pPr>
      <w:hyperlink r:id="rId17" w:history="1">
        <w:r w:rsidR="00400AAE" w:rsidRPr="00497560">
          <w:rPr>
            <w:rStyle w:val="Hyperlink"/>
            <w:rFonts w:cs="Arial"/>
            <w:sz w:val="22"/>
          </w:rPr>
          <w:t>NHS England and NHS Improvement Business case guidance</w:t>
        </w:r>
      </w:hyperlink>
    </w:p>
    <w:sectPr w:rsidR="00400AAE" w:rsidRPr="00497560" w:rsidSect="00195738">
      <w:headerReference w:type="even" r:id="rId18"/>
      <w:headerReference w:type="default" r:id="rId19"/>
      <w:footerReference w:type="default" r:id="rId20"/>
      <w:headerReference w:type="first" r:id="rId21"/>
      <w:footerReference w:type="first" r:id="rId22"/>
      <w:pgSz w:w="11906" w:h="16838" w:code="9"/>
      <w:pgMar w:top="1440" w:right="1531"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545A" w14:textId="77777777" w:rsidR="002212E6" w:rsidRDefault="002212E6" w:rsidP="00CB479C">
      <w:pPr>
        <w:spacing w:after="0" w:line="240" w:lineRule="auto"/>
      </w:pPr>
      <w:r>
        <w:separator/>
      </w:r>
    </w:p>
  </w:endnote>
  <w:endnote w:type="continuationSeparator" w:id="0">
    <w:p w14:paraId="7FA47AD4" w14:textId="77777777" w:rsidR="002212E6" w:rsidRDefault="002212E6" w:rsidP="00CB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DA73" w14:textId="0FB99928" w:rsidR="00AF56B9" w:rsidRPr="00AF56B9" w:rsidRDefault="00C627E9">
    <w:pPr>
      <w:pStyle w:val="Footer"/>
      <w:rPr>
        <w:sz w:val="20"/>
        <w:lang w:val="en-US"/>
      </w:rPr>
    </w:pPr>
    <w:r>
      <w:rPr>
        <w:sz w:val="12"/>
        <w:szCs w:val="12"/>
        <w:lang w:val="en-US"/>
      </w:rPr>
      <w:t>August</w:t>
    </w:r>
    <w:r w:rsidR="008E65A3">
      <w:rPr>
        <w:sz w:val="12"/>
        <w:szCs w:val="12"/>
        <w:lang w:val="en-US"/>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611E" w14:textId="77777777" w:rsidR="00CB479C" w:rsidRDefault="00CB479C">
    <w:pPr>
      <w:pStyle w:val="Footer"/>
    </w:pPr>
    <w:r>
      <w:rPr>
        <w:noProof/>
        <w:lang w:eastAsia="en-GB"/>
      </w:rPr>
      <mc:AlternateContent>
        <mc:Choice Requires="wps">
          <w:drawing>
            <wp:anchor distT="0" distB="0" distL="114300" distR="114300" simplePos="0" relativeHeight="251661312" behindDoc="0" locked="0" layoutInCell="1" allowOverlap="1" wp14:anchorId="49BF5F39" wp14:editId="4DB4DEC7">
              <wp:simplePos x="0" y="0"/>
              <wp:positionH relativeFrom="margin">
                <wp:posOffset>1257300</wp:posOffset>
              </wp:positionH>
              <wp:positionV relativeFrom="margin">
                <wp:posOffset>8947150</wp:posOffset>
              </wp:positionV>
              <wp:extent cx="3209925" cy="4064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406400"/>
                      </a:xfrm>
                      <a:prstGeom prst="rect">
                        <a:avLst/>
                      </a:prstGeom>
                      <a:solidFill>
                        <a:schemeClr val="lt1"/>
                      </a:solidFill>
                      <a:ln w="6350">
                        <a:noFill/>
                      </a:ln>
                    </wps:spPr>
                    <wps:txbx>
                      <w:txbxContent>
                        <w:p w14:paraId="4825FCBD" w14:textId="77777777" w:rsidR="00CB479C" w:rsidRPr="00FC4EFF" w:rsidRDefault="00CB479C" w:rsidP="00CB479C">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5F39" id="_x0000_t202" coordsize="21600,21600" o:spt="202" path="m,l,21600r21600,l21600,xe">
              <v:stroke joinstyle="miter"/>
              <v:path gradientshapeok="t" o:connecttype="rect"/>
            </v:shapetype>
            <v:shape id="Text Box 4" o:spid="_x0000_s1026" type="#_x0000_t202" style="position:absolute;margin-left:99pt;margin-top:704.5pt;width:252.75pt;height: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" fillcolor="white [3201]" stroked="f" strokeweight=".5pt">
              <v:textbox>
                <w:txbxContent>
                  <w:p w14:paraId="4825FCBD" w14:textId="77777777" w:rsidR="00CB479C" w:rsidRPr="00FC4EFF" w:rsidRDefault="00CB479C" w:rsidP="00CB479C">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1" locked="0" layoutInCell="1" allowOverlap="1" wp14:anchorId="2ED366AA" wp14:editId="7F165096">
          <wp:simplePos x="0" y="0"/>
          <wp:positionH relativeFrom="column">
            <wp:posOffset>-933450</wp:posOffset>
          </wp:positionH>
          <wp:positionV relativeFrom="paragraph">
            <wp:posOffset>238125</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3" name="Picture 3"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388C" w14:textId="77777777" w:rsidR="002212E6" w:rsidRDefault="002212E6" w:rsidP="00CB479C">
      <w:pPr>
        <w:spacing w:after="0" w:line="240" w:lineRule="auto"/>
      </w:pPr>
      <w:r>
        <w:separator/>
      </w:r>
    </w:p>
  </w:footnote>
  <w:footnote w:type="continuationSeparator" w:id="0">
    <w:p w14:paraId="71ADB45B" w14:textId="77777777" w:rsidR="002212E6" w:rsidRDefault="002212E6" w:rsidP="00CB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0238" w14:textId="2E6402F1" w:rsidR="008E65A3" w:rsidRDefault="00640E35">
    <w:pPr>
      <w:pStyle w:val="Header"/>
    </w:pPr>
    <w:r>
      <w:rPr>
        <w:noProof/>
      </w:rPr>
      <w:pict w14:anchorId="738AC9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728610" o:spid="_x0000_s2050" type="#_x0000_t136" style="position:absolute;margin-left:0;margin-top:0;width:449.9pt;height:179.9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5110" w14:textId="7BFAE9CB" w:rsidR="001D6B84" w:rsidRDefault="00D65F59">
    <w:pPr>
      <w:pStyle w:val="Header"/>
    </w:pPr>
    <w:r>
      <w:rPr>
        <w:noProof/>
        <w:lang w:eastAsia="en-GB"/>
      </w:rPr>
      <w:drawing>
        <wp:anchor distT="0" distB="0" distL="114300" distR="114300" simplePos="0" relativeHeight="251671552" behindDoc="1" locked="0" layoutInCell="1" allowOverlap="1" wp14:anchorId="3D13A868" wp14:editId="346D386C">
          <wp:simplePos x="0" y="0"/>
          <wp:positionH relativeFrom="page">
            <wp:posOffset>5364480</wp:posOffset>
          </wp:positionH>
          <wp:positionV relativeFrom="topMargin">
            <wp:posOffset>98425</wp:posOffset>
          </wp:positionV>
          <wp:extent cx="1898015" cy="70643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784F" w14:textId="5EBFB7CC" w:rsidR="002E2654" w:rsidRDefault="00EB7304">
    <w:pPr>
      <w:pStyle w:val="Header"/>
    </w:pPr>
    <w:r>
      <w:rPr>
        <w:noProof/>
        <w:lang w:eastAsia="en-GB"/>
      </w:rPr>
      <w:drawing>
        <wp:anchor distT="0" distB="0" distL="114300" distR="114300" simplePos="0" relativeHeight="251669504" behindDoc="1" locked="0" layoutInCell="1" allowOverlap="1" wp14:anchorId="254B8D0C" wp14:editId="71116019">
          <wp:simplePos x="0" y="0"/>
          <wp:positionH relativeFrom="page">
            <wp:posOffset>5615940</wp:posOffset>
          </wp:positionH>
          <wp:positionV relativeFrom="topMargin">
            <wp:align>bottom</wp:align>
          </wp:positionV>
          <wp:extent cx="1898015" cy="70643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gif"/>
                  <pic:cNvPicPr/>
                </pic:nvPicPr>
                <pic:blipFill rotWithShape="1">
                  <a:blip r:embed="rId1">
                    <a:extLst>
                      <a:ext uri="{28A0092B-C50C-407E-A947-70E740481C1C}">
                        <a14:useLocalDpi xmlns:a14="http://schemas.microsoft.com/office/drawing/2010/main" val="0"/>
                      </a:ext>
                    </a:extLst>
                  </a:blip>
                  <a:srcRect t="40840"/>
                  <a:stretch/>
                </pic:blipFill>
                <pic:spPr bwMode="auto">
                  <a:xfrm>
                    <a:off x="0" y="0"/>
                    <a:ext cx="1898015" cy="70643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1A42"/>
    <w:multiLevelType w:val="hybridMultilevel"/>
    <w:tmpl w:val="3230AB20"/>
    <w:lvl w:ilvl="0" w:tplc="9DA2F2C0">
      <w:start w:val="1"/>
      <w:numFmt w:val="bullet"/>
      <w:lvlText w:val="•"/>
      <w:lvlJc w:val="left"/>
      <w:pPr>
        <w:tabs>
          <w:tab w:val="num" w:pos="720"/>
        </w:tabs>
        <w:ind w:left="720" w:hanging="360"/>
      </w:pPr>
      <w:rPr>
        <w:rFonts w:ascii="Arial" w:hAnsi="Arial" w:hint="default"/>
      </w:rPr>
    </w:lvl>
    <w:lvl w:ilvl="1" w:tplc="7206E614" w:tentative="1">
      <w:start w:val="1"/>
      <w:numFmt w:val="bullet"/>
      <w:lvlText w:val="•"/>
      <w:lvlJc w:val="left"/>
      <w:pPr>
        <w:tabs>
          <w:tab w:val="num" w:pos="1440"/>
        </w:tabs>
        <w:ind w:left="1440" w:hanging="360"/>
      </w:pPr>
      <w:rPr>
        <w:rFonts w:ascii="Arial" w:hAnsi="Arial" w:hint="default"/>
      </w:rPr>
    </w:lvl>
    <w:lvl w:ilvl="2" w:tplc="2536F8CE" w:tentative="1">
      <w:start w:val="1"/>
      <w:numFmt w:val="bullet"/>
      <w:lvlText w:val="•"/>
      <w:lvlJc w:val="left"/>
      <w:pPr>
        <w:tabs>
          <w:tab w:val="num" w:pos="2160"/>
        </w:tabs>
        <w:ind w:left="2160" w:hanging="360"/>
      </w:pPr>
      <w:rPr>
        <w:rFonts w:ascii="Arial" w:hAnsi="Arial" w:hint="default"/>
      </w:rPr>
    </w:lvl>
    <w:lvl w:ilvl="3" w:tplc="7EBEC1A2" w:tentative="1">
      <w:start w:val="1"/>
      <w:numFmt w:val="bullet"/>
      <w:lvlText w:val="•"/>
      <w:lvlJc w:val="left"/>
      <w:pPr>
        <w:tabs>
          <w:tab w:val="num" w:pos="2880"/>
        </w:tabs>
        <w:ind w:left="2880" w:hanging="360"/>
      </w:pPr>
      <w:rPr>
        <w:rFonts w:ascii="Arial" w:hAnsi="Arial" w:hint="default"/>
      </w:rPr>
    </w:lvl>
    <w:lvl w:ilvl="4" w:tplc="16424984" w:tentative="1">
      <w:start w:val="1"/>
      <w:numFmt w:val="bullet"/>
      <w:lvlText w:val="•"/>
      <w:lvlJc w:val="left"/>
      <w:pPr>
        <w:tabs>
          <w:tab w:val="num" w:pos="3600"/>
        </w:tabs>
        <w:ind w:left="3600" w:hanging="360"/>
      </w:pPr>
      <w:rPr>
        <w:rFonts w:ascii="Arial" w:hAnsi="Arial" w:hint="default"/>
      </w:rPr>
    </w:lvl>
    <w:lvl w:ilvl="5" w:tplc="9B28E164" w:tentative="1">
      <w:start w:val="1"/>
      <w:numFmt w:val="bullet"/>
      <w:lvlText w:val="•"/>
      <w:lvlJc w:val="left"/>
      <w:pPr>
        <w:tabs>
          <w:tab w:val="num" w:pos="4320"/>
        </w:tabs>
        <w:ind w:left="4320" w:hanging="360"/>
      </w:pPr>
      <w:rPr>
        <w:rFonts w:ascii="Arial" w:hAnsi="Arial" w:hint="default"/>
      </w:rPr>
    </w:lvl>
    <w:lvl w:ilvl="6" w:tplc="708C30A0" w:tentative="1">
      <w:start w:val="1"/>
      <w:numFmt w:val="bullet"/>
      <w:lvlText w:val="•"/>
      <w:lvlJc w:val="left"/>
      <w:pPr>
        <w:tabs>
          <w:tab w:val="num" w:pos="5040"/>
        </w:tabs>
        <w:ind w:left="5040" w:hanging="360"/>
      </w:pPr>
      <w:rPr>
        <w:rFonts w:ascii="Arial" w:hAnsi="Arial" w:hint="default"/>
      </w:rPr>
    </w:lvl>
    <w:lvl w:ilvl="7" w:tplc="E6EEE550" w:tentative="1">
      <w:start w:val="1"/>
      <w:numFmt w:val="bullet"/>
      <w:lvlText w:val="•"/>
      <w:lvlJc w:val="left"/>
      <w:pPr>
        <w:tabs>
          <w:tab w:val="num" w:pos="5760"/>
        </w:tabs>
        <w:ind w:left="5760" w:hanging="360"/>
      </w:pPr>
      <w:rPr>
        <w:rFonts w:ascii="Arial" w:hAnsi="Arial" w:hint="default"/>
      </w:rPr>
    </w:lvl>
    <w:lvl w:ilvl="8" w:tplc="EEEC85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0F0137"/>
    <w:multiLevelType w:val="hybridMultilevel"/>
    <w:tmpl w:val="7CA40C0C"/>
    <w:lvl w:ilvl="0" w:tplc="A6C8DF4C">
      <w:start w:val="1"/>
      <w:numFmt w:val="bullet"/>
      <w:pStyle w:val="ListParagraph"/>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E771D0"/>
    <w:multiLevelType w:val="hybridMultilevel"/>
    <w:tmpl w:val="318E72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E246E"/>
    <w:multiLevelType w:val="hybridMultilevel"/>
    <w:tmpl w:val="12EC4A10"/>
    <w:lvl w:ilvl="0" w:tplc="9A2E6C20">
      <w:start w:val="1"/>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C01CDB"/>
    <w:multiLevelType w:val="hybridMultilevel"/>
    <w:tmpl w:val="6928A36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C902EB"/>
    <w:multiLevelType w:val="hybridMultilevel"/>
    <w:tmpl w:val="B6A8CF66"/>
    <w:lvl w:ilvl="0" w:tplc="6E947C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964549"/>
    <w:multiLevelType w:val="hybridMultilevel"/>
    <w:tmpl w:val="C0BA1012"/>
    <w:lvl w:ilvl="0" w:tplc="85D6FAA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32F8E"/>
    <w:multiLevelType w:val="hybridMultilevel"/>
    <w:tmpl w:val="3C5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0160444">
    <w:abstractNumId w:val="1"/>
  </w:num>
  <w:num w:numId="2" w16cid:durableId="304743608">
    <w:abstractNumId w:val="4"/>
  </w:num>
  <w:num w:numId="3" w16cid:durableId="71585555">
    <w:abstractNumId w:val="2"/>
  </w:num>
  <w:num w:numId="4" w16cid:durableId="400056647">
    <w:abstractNumId w:val="6"/>
  </w:num>
  <w:num w:numId="5" w16cid:durableId="962421932">
    <w:abstractNumId w:val="7"/>
  </w:num>
  <w:num w:numId="6" w16cid:durableId="1602254003">
    <w:abstractNumId w:val="5"/>
  </w:num>
  <w:num w:numId="7" w16cid:durableId="2047756255">
    <w:abstractNumId w:val="3"/>
  </w:num>
  <w:num w:numId="8" w16cid:durableId="21298138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89"/>
    <w:rsid w:val="0000065A"/>
    <w:rsid w:val="000056E3"/>
    <w:rsid w:val="00012418"/>
    <w:rsid w:val="0001249B"/>
    <w:rsid w:val="00033550"/>
    <w:rsid w:val="00053609"/>
    <w:rsid w:val="00092A1B"/>
    <w:rsid w:val="000B4CDE"/>
    <w:rsid w:val="000C66C1"/>
    <w:rsid w:val="000F2216"/>
    <w:rsid w:val="000F2770"/>
    <w:rsid w:val="00101874"/>
    <w:rsid w:val="001457B4"/>
    <w:rsid w:val="00152729"/>
    <w:rsid w:val="00161418"/>
    <w:rsid w:val="0016227D"/>
    <w:rsid w:val="00180FC9"/>
    <w:rsid w:val="00182384"/>
    <w:rsid w:val="00191B4A"/>
    <w:rsid w:val="00193504"/>
    <w:rsid w:val="00195738"/>
    <w:rsid w:val="001959C7"/>
    <w:rsid w:val="00195CF3"/>
    <w:rsid w:val="001A1E68"/>
    <w:rsid w:val="001B1CC4"/>
    <w:rsid w:val="001C3262"/>
    <w:rsid w:val="001C7FAE"/>
    <w:rsid w:val="001D2A0E"/>
    <w:rsid w:val="001D3045"/>
    <w:rsid w:val="001D6B84"/>
    <w:rsid w:val="001E00D8"/>
    <w:rsid w:val="001F1266"/>
    <w:rsid w:val="0021299E"/>
    <w:rsid w:val="002212E6"/>
    <w:rsid w:val="00225C54"/>
    <w:rsid w:val="002358C1"/>
    <w:rsid w:val="00245FD4"/>
    <w:rsid w:val="00252A16"/>
    <w:rsid w:val="00271C3F"/>
    <w:rsid w:val="00282B1A"/>
    <w:rsid w:val="00294D51"/>
    <w:rsid w:val="002A1EEC"/>
    <w:rsid w:val="002A6699"/>
    <w:rsid w:val="002A6C26"/>
    <w:rsid w:val="002C184E"/>
    <w:rsid w:val="002E2654"/>
    <w:rsid w:val="002E5526"/>
    <w:rsid w:val="00302DB3"/>
    <w:rsid w:val="00317EE5"/>
    <w:rsid w:val="003431EC"/>
    <w:rsid w:val="00357500"/>
    <w:rsid w:val="003577BE"/>
    <w:rsid w:val="0036479C"/>
    <w:rsid w:val="003852D5"/>
    <w:rsid w:val="003C08F8"/>
    <w:rsid w:val="003E2F89"/>
    <w:rsid w:val="00400AAE"/>
    <w:rsid w:val="00435645"/>
    <w:rsid w:val="004850B4"/>
    <w:rsid w:val="0049536A"/>
    <w:rsid w:val="00497560"/>
    <w:rsid w:val="004B2FA0"/>
    <w:rsid w:val="004C5DFF"/>
    <w:rsid w:val="004D494C"/>
    <w:rsid w:val="004F012C"/>
    <w:rsid w:val="005031DB"/>
    <w:rsid w:val="0053336A"/>
    <w:rsid w:val="005726DD"/>
    <w:rsid w:val="00581632"/>
    <w:rsid w:val="005A0BCE"/>
    <w:rsid w:val="005C75E1"/>
    <w:rsid w:val="005D2FD7"/>
    <w:rsid w:val="005D5521"/>
    <w:rsid w:val="00623837"/>
    <w:rsid w:val="006271A2"/>
    <w:rsid w:val="0063195C"/>
    <w:rsid w:val="006353E3"/>
    <w:rsid w:val="00636F92"/>
    <w:rsid w:val="00637FE1"/>
    <w:rsid w:val="00640E35"/>
    <w:rsid w:val="00653C79"/>
    <w:rsid w:val="00697894"/>
    <w:rsid w:val="006A4399"/>
    <w:rsid w:val="006C3E81"/>
    <w:rsid w:val="006E3206"/>
    <w:rsid w:val="00711A86"/>
    <w:rsid w:val="00716B32"/>
    <w:rsid w:val="007203B6"/>
    <w:rsid w:val="00727AEA"/>
    <w:rsid w:val="00760552"/>
    <w:rsid w:val="007671AF"/>
    <w:rsid w:val="0077193C"/>
    <w:rsid w:val="00774546"/>
    <w:rsid w:val="0079161A"/>
    <w:rsid w:val="007B3EF9"/>
    <w:rsid w:val="008038EC"/>
    <w:rsid w:val="00811432"/>
    <w:rsid w:val="008116F5"/>
    <w:rsid w:val="00823A97"/>
    <w:rsid w:val="00830E1C"/>
    <w:rsid w:val="008328AB"/>
    <w:rsid w:val="00851433"/>
    <w:rsid w:val="0088022A"/>
    <w:rsid w:val="00880C9C"/>
    <w:rsid w:val="00881BA3"/>
    <w:rsid w:val="008874C0"/>
    <w:rsid w:val="008A1966"/>
    <w:rsid w:val="008A6FFC"/>
    <w:rsid w:val="008E65A3"/>
    <w:rsid w:val="008F2F1D"/>
    <w:rsid w:val="009005E2"/>
    <w:rsid w:val="00911B79"/>
    <w:rsid w:val="00912634"/>
    <w:rsid w:val="0092621C"/>
    <w:rsid w:val="009322FC"/>
    <w:rsid w:val="009461D4"/>
    <w:rsid w:val="009712CE"/>
    <w:rsid w:val="00977E20"/>
    <w:rsid w:val="00996E4B"/>
    <w:rsid w:val="009D3586"/>
    <w:rsid w:val="009D6E23"/>
    <w:rsid w:val="009E1C4B"/>
    <w:rsid w:val="009E40F2"/>
    <w:rsid w:val="00A266B7"/>
    <w:rsid w:val="00A328EC"/>
    <w:rsid w:val="00A43178"/>
    <w:rsid w:val="00A44CCA"/>
    <w:rsid w:val="00A73296"/>
    <w:rsid w:val="00AE16EB"/>
    <w:rsid w:val="00AE223C"/>
    <w:rsid w:val="00AE63B0"/>
    <w:rsid w:val="00AE644D"/>
    <w:rsid w:val="00AF4305"/>
    <w:rsid w:val="00AF56B9"/>
    <w:rsid w:val="00B07093"/>
    <w:rsid w:val="00B160C0"/>
    <w:rsid w:val="00B25C70"/>
    <w:rsid w:val="00B45F81"/>
    <w:rsid w:val="00B47131"/>
    <w:rsid w:val="00B50AB9"/>
    <w:rsid w:val="00B57242"/>
    <w:rsid w:val="00B7349D"/>
    <w:rsid w:val="00B80C0D"/>
    <w:rsid w:val="00B9089B"/>
    <w:rsid w:val="00BA36B4"/>
    <w:rsid w:val="00BD2FE9"/>
    <w:rsid w:val="00C01725"/>
    <w:rsid w:val="00C03D31"/>
    <w:rsid w:val="00C10509"/>
    <w:rsid w:val="00C1601E"/>
    <w:rsid w:val="00C36F50"/>
    <w:rsid w:val="00C42D2D"/>
    <w:rsid w:val="00C627E9"/>
    <w:rsid w:val="00C64A79"/>
    <w:rsid w:val="00CA623B"/>
    <w:rsid w:val="00CB479C"/>
    <w:rsid w:val="00CC3912"/>
    <w:rsid w:val="00CC3D71"/>
    <w:rsid w:val="00CE7DB0"/>
    <w:rsid w:val="00CF7F43"/>
    <w:rsid w:val="00D01E2E"/>
    <w:rsid w:val="00D158EA"/>
    <w:rsid w:val="00D20519"/>
    <w:rsid w:val="00D22403"/>
    <w:rsid w:val="00D25070"/>
    <w:rsid w:val="00D5009C"/>
    <w:rsid w:val="00D563C8"/>
    <w:rsid w:val="00D65F59"/>
    <w:rsid w:val="00D92616"/>
    <w:rsid w:val="00DA49F8"/>
    <w:rsid w:val="00DA6D9A"/>
    <w:rsid w:val="00DC6DA8"/>
    <w:rsid w:val="00DD5BDB"/>
    <w:rsid w:val="00DE563E"/>
    <w:rsid w:val="00DF453F"/>
    <w:rsid w:val="00E12C9E"/>
    <w:rsid w:val="00E15B2E"/>
    <w:rsid w:val="00E311F3"/>
    <w:rsid w:val="00E4472A"/>
    <w:rsid w:val="00E47786"/>
    <w:rsid w:val="00E6495B"/>
    <w:rsid w:val="00E649C9"/>
    <w:rsid w:val="00E7433B"/>
    <w:rsid w:val="00E81F29"/>
    <w:rsid w:val="00E91916"/>
    <w:rsid w:val="00EB0A46"/>
    <w:rsid w:val="00EB4C83"/>
    <w:rsid w:val="00EB7304"/>
    <w:rsid w:val="00EC29CA"/>
    <w:rsid w:val="00ED2E63"/>
    <w:rsid w:val="00ED6B74"/>
    <w:rsid w:val="00EF227B"/>
    <w:rsid w:val="00F04F65"/>
    <w:rsid w:val="00F12FE1"/>
    <w:rsid w:val="00F224F7"/>
    <w:rsid w:val="00F23E40"/>
    <w:rsid w:val="00F414DA"/>
    <w:rsid w:val="00F74B2D"/>
    <w:rsid w:val="00F84032"/>
    <w:rsid w:val="00F84B9E"/>
    <w:rsid w:val="00F95020"/>
    <w:rsid w:val="00FB13B0"/>
    <w:rsid w:val="00FB2C6B"/>
    <w:rsid w:val="00FC3F0F"/>
    <w:rsid w:val="00FC49BA"/>
    <w:rsid w:val="00FF7E59"/>
    <w:rsid w:val="0143E4E1"/>
    <w:rsid w:val="014D7EF4"/>
    <w:rsid w:val="02BCC112"/>
    <w:rsid w:val="02D026F8"/>
    <w:rsid w:val="04803220"/>
    <w:rsid w:val="04995A7D"/>
    <w:rsid w:val="04E7023A"/>
    <w:rsid w:val="061C0281"/>
    <w:rsid w:val="07B32665"/>
    <w:rsid w:val="082169F9"/>
    <w:rsid w:val="08C011B5"/>
    <w:rsid w:val="08FEDD10"/>
    <w:rsid w:val="0A88C5BD"/>
    <w:rsid w:val="0AF2B4AD"/>
    <w:rsid w:val="0ECCABF9"/>
    <w:rsid w:val="0FFA5F85"/>
    <w:rsid w:val="10B1FB3D"/>
    <w:rsid w:val="10BA03D8"/>
    <w:rsid w:val="14D8624E"/>
    <w:rsid w:val="196D0816"/>
    <w:rsid w:val="1CA95555"/>
    <w:rsid w:val="1CBFBA30"/>
    <w:rsid w:val="1F1CC05C"/>
    <w:rsid w:val="21932B53"/>
    <w:rsid w:val="25E2490B"/>
    <w:rsid w:val="2716976A"/>
    <w:rsid w:val="2A5A856D"/>
    <w:rsid w:val="2B8FA7E7"/>
    <w:rsid w:val="2F74FF98"/>
    <w:rsid w:val="32632177"/>
    <w:rsid w:val="349AF042"/>
    <w:rsid w:val="373C497E"/>
    <w:rsid w:val="38207E27"/>
    <w:rsid w:val="38D819DF"/>
    <w:rsid w:val="39B46102"/>
    <w:rsid w:val="39C89BC9"/>
    <w:rsid w:val="3D498998"/>
    <w:rsid w:val="3EE559F9"/>
    <w:rsid w:val="436330CE"/>
    <w:rsid w:val="46AF0C57"/>
    <w:rsid w:val="4AF721DE"/>
    <w:rsid w:val="4B551A56"/>
    <w:rsid w:val="4B6E42B3"/>
    <w:rsid w:val="4C14A394"/>
    <w:rsid w:val="4CF0EAB7"/>
    <w:rsid w:val="51981CE2"/>
    <w:rsid w:val="52CA8D98"/>
    <w:rsid w:val="53746702"/>
    <w:rsid w:val="5377A80B"/>
    <w:rsid w:val="53DAC795"/>
    <w:rsid w:val="549B2651"/>
    <w:rsid w:val="54A9897C"/>
    <w:rsid w:val="55EFBF8F"/>
    <w:rsid w:val="5603E642"/>
    <w:rsid w:val="57726793"/>
    <w:rsid w:val="57B9F70E"/>
    <w:rsid w:val="5D1B4948"/>
    <w:rsid w:val="5DE1A917"/>
    <w:rsid w:val="651A0DEC"/>
    <w:rsid w:val="662991F5"/>
    <w:rsid w:val="6AC02C1F"/>
    <w:rsid w:val="6B2F9BA7"/>
    <w:rsid w:val="6C098960"/>
    <w:rsid w:val="6DF7CCE1"/>
    <w:rsid w:val="6E0C07A8"/>
    <w:rsid w:val="6E673C69"/>
    <w:rsid w:val="6F88444E"/>
    <w:rsid w:val="7057D2FD"/>
    <w:rsid w:val="7107CDF1"/>
    <w:rsid w:val="7146E973"/>
    <w:rsid w:val="74670E65"/>
    <w:rsid w:val="746EFBEB"/>
    <w:rsid w:val="747B492C"/>
    <w:rsid w:val="77B2E9EE"/>
    <w:rsid w:val="7938D2FB"/>
    <w:rsid w:val="7AE814D5"/>
    <w:rsid w:val="7C26F4DA"/>
    <w:rsid w:val="7FA8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A989E6"/>
  <w15:chartTrackingRefBased/>
  <w15:docId w15:val="{1A2517FD-228E-4129-B334-7173ED3A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96"/>
    <w:rPr>
      <w:rFonts w:ascii="Arial" w:hAnsi="Arial"/>
      <w:sz w:val="24"/>
    </w:rPr>
  </w:style>
  <w:style w:type="paragraph" w:styleId="Heading1">
    <w:name w:val="heading 1"/>
    <w:basedOn w:val="Normal"/>
    <w:next w:val="Normal"/>
    <w:link w:val="Heading1Char"/>
    <w:uiPriority w:val="9"/>
    <w:qFormat/>
    <w:rsid w:val="004B2FA0"/>
    <w:pPr>
      <w:keepNext/>
      <w:keepLines/>
      <w:spacing w:before="480" w:after="0" w:line="240" w:lineRule="auto"/>
      <w:outlineLvl w:val="0"/>
    </w:pPr>
    <w:rPr>
      <w:rFonts w:eastAsiaTheme="majorEastAsia" w:cstheme="majorBidi"/>
      <w:b/>
      <w:bCs/>
      <w:color w:val="005EB8"/>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B479C"/>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CB479C"/>
    <w:rPr>
      <w:rFonts w:ascii="Arial" w:eastAsiaTheme="minorEastAsia" w:hAnsi="Arial"/>
      <w:sz w:val="24"/>
      <w:lang w:val="en-US"/>
    </w:rPr>
  </w:style>
  <w:style w:type="paragraph" w:styleId="Header">
    <w:name w:val="header"/>
    <w:basedOn w:val="Normal"/>
    <w:link w:val="HeaderChar"/>
    <w:uiPriority w:val="99"/>
    <w:unhideWhenUsed/>
    <w:rsid w:val="00CB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79C"/>
  </w:style>
  <w:style w:type="paragraph" w:styleId="Footer">
    <w:name w:val="footer"/>
    <w:basedOn w:val="Normal"/>
    <w:link w:val="FooterChar"/>
    <w:uiPriority w:val="99"/>
    <w:unhideWhenUsed/>
    <w:rsid w:val="00CB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79C"/>
  </w:style>
  <w:style w:type="paragraph" w:styleId="ListParagraph">
    <w:name w:val="List Paragraph"/>
    <w:basedOn w:val="NoSpacing"/>
    <w:autoRedefine/>
    <w:uiPriority w:val="34"/>
    <w:qFormat/>
    <w:rsid w:val="00282B1A"/>
    <w:pPr>
      <w:numPr>
        <w:numId w:val="1"/>
      </w:numPr>
      <w:spacing w:after="160" w:line="259" w:lineRule="auto"/>
      <w:contextualSpacing/>
    </w:pPr>
    <w:rPr>
      <w:szCs w:val="24"/>
    </w:rPr>
  </w:style>
  <w:style w:type="table" w:styleId="LightGrid-Accent1">
    <w:name w:val="Light Grid Accent 1"/>
    <w:basedOn w:val="TableNormal"/>
    <w:uiPriority w:val="62"/>
    <w:rsid w:val="002A6699"/>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2A6699"/>
    <w:rPr>
      <w:sz w:val="16"/>
      <w:szCs w:val="16"/>
    </w:rPr>
  </w:style>
  <w:style w:type="paragraph" w:styleId="CommentText">
    <w:name w:val="annotation text"/>
    <w:basedOn w:val="Normal"/>
    <w:link w:val="CommentTextChar"/>
    <w:uiPriority w:val="99"/>
    <w:unhideWhenUsed/>
    <w:rsid w:val="002A6699"/>
    <w:pPr>
      <w:spacing w:after="0" w:line="240" w:lineRule="auto"/>
    </w:pPr>
    <w:rPr>
      <w:rFonts w:eastAsiaTheme="minorEastAsia"/>
      <w:color w:val="000000" w:themeColor="text1"/>
      <w:sz w:val="20"/>
      <w:szCs w:val="20"/>
    </w:rPr>
  </w:style>
  <w:style w:type="character" w:customStyle="1" w:styleId="CommentTextChar">
    <w:name w:val="Comment Text Char"/>
    <w:basedOn w:val="DefaultParagraphFont"/>
    <w:link w:val="CommentText"/>
    <w:uiPriority w:val="99"/>
    <w:rsid w:val="002A6699"/>
    <w:rPr>
      <w:rFonts w:ascii="Arial" w:eastAsiaTheme="minorEastAsia" w:hAnsi="Arial"/>
      <w:color w:val="000000" w:themeColor="text1"/>
      <w:sz w:val="20"/>
      <w:szCs w:val="20"/>
    </w:rPr>
  </w:style>
  <w:style w:type="paragraph" w:styleId="BalloonText">
    <w:name w:val="Balloon Text"/>
    <w:basedOn w:val="Normal"/>
    <w:link w:val="BalloonTextChar"/>
    <w:uiPriority w:val="99"/>
    <w:semiHidden/>
    <w:unhideWhenUsed/>
    <w:rsid w:val="002A6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99"/>
    <w:rPr>
      <w:rFonts w:ascii="Segoe UI" w:hAnsi="Segoe UI" w:cs="Segoe UI"/>
      <w:sz w:val="18"/>
      <w:szCs w:val="18"/>
    </w:rPr>
  </w:style>
  <w:style w:type="paragraph" w:customStyle="1" w:styleId="paragraph">
    <w:name w:val="paragraph"/>
    <w:basedOn w:val="Normal"/>
    <w:rsid w:val="002A66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A6699"/>
  </w:style>
  <w:style w:type="character" w:customStyle="1" w:styleId="eop">
    <w:name w:val="eop"/>
    <w:basedOn w:val="DefaultParagraphFont"/>
    <w:rsid w:val="002A6699"/>
  </w:style>
  <w:style w:type="table" w:styleId="GridTable3-Accent1">
    <w:name w:val="Grid Table 3 Accent 1"/>
    <w:basedOn w:val="TableNormal"/>
    <w:uiPriority w:val="48"/>
    <w:rsid w:val="00AF56B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5Dark-Accent5">
    <w:name w:val="Grid Table 5 Dark Accent 5"/>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3">
    <w:name w:val="Grid Table 5 Dark Accent 3"/>
    <w:basedOn w:val="TableNormal"/>
    <w:uiPriority w:val="50"/>
    <w:rsid w:val="00AF56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Heading10">
    <w:name w:val="Heading1"/>
    <w:basedOn w:val="Normal"/>
    <w:link w:val="Heading1Char0"/>
    <w:qFormat/>
    <w:rsid w:val="00697894"/>
    <w:rPr>
      <w:rFonts w:cs="Arial"/>
      <w:b/>
      <w:color w:val="0070C0"/>
      <w:sz w:val="36"/>
      <w:lang w:val="en-US"/>
    </w:rPr>
  </w:style>
  <w:style w:type="paragraph" w:customStyle="1" w:styleId="Heading2">
    <w:name w:val="Heading2"/>
    <w:basedOn w:val="Normal"/>
    <w:link w:val="Heading2Char"/>
    <w:qFormat/>
    <w:rsid w:val="00C10509"/>
    <w:rPr>
      <w:rFonts w:cs="Arial"/>
      <w:b/>
      <w:color w:val="0070C0"/>
      <w:sz w:val="28"/>
      <w:lang w:val="en-US"/>
    </w:rPr>
  </w:style>
  <w:style w:type="character" w:customStyle="1" w:styleId="Heading1Char0">
    <w:name w:val="Heading1 Char"/>
    <w:basedOn w:val="DefaultParagraphFont"/>
    <w:link w:val="Heading10"/>
    <w:rsid w:val="00697894"/>
    <w:rPr>
      <w:rFonts w:ascii="Arial" w:hAnsi="Arial" w:cs="Arial"/>
      <w:b/>
      <w:color w:val="0070C0"/>
      <w:sz w:val="36"/>
      <w:lang w:val="en-US"/>
    </w:rPr>
  </w:style>
  <w:style w:type="table" w:styleId="TableGrid">
    <w:name w:val="Table Grid"/>
    <w:basedOn w:val="TableNormal"/>
    <w:uiPriority w:val="39"/>
    <w:rsid w:val="00343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2 Char"/>
    <w:basedOn w:val="DefaultParagraphFont"/>
    <w:link w:val="Heading2"/>
    <w:rsid w:val="00C10509"/>
    <w:rPr>
      <w:rFonts w:ascii="Arial" w:hAnsi="Arial" w:cs="Arial"/>
      <w:b/>
      <w:color w:val="0070C0"/>
      <w:sz w:val="28"/>
      <w:lang w:val="en-US"/>
    </w:rPr>
  </w:style>
  <w:style w:type="table" w:styleId="PlainTable1">
    <w:name w:val="Plain Table 1"/>
    <w:basedOn w:val="TableNormal"/>
    <w:uiPriority w:val="41"/>
    <w:rsid w:val="003431E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2FA0"/>
    <w:rPr>
      <w:rFonts w:ascii="Arial" w:eastAsiaTheme="majorEastAsia" w:hAnsi="Arial" w:cstheme="majorBidi"/>
      <w:b/>
      <w:bCs/>
      <w:color w:val="005EB8"/>
      <w:sz w:val="48"/>
      <w:szCs w:val="32"/>
    </w:rPr>
  </w:style>
  <w:style w:type="table" w:customStyle="1" w:styleId="LightShading-Accent11">
    <w:name w:val="Light Shading - Accent 11"/>
    <w:basedOn w:val="TableNormal"/>
    <w:uiPriority w:val="60"/>
    <w:rsid w:val="004B2FA0"/>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TOCHeading">
    <w:name w:val="TOC Heading"/>
    <w:basedOn w:val="Heading1"/>
    <w:next w:val="Normal"/>
    <w:uiPriority w:val="39"/>
    <w:unhideWhenUsed/>
    <w:qFormat/>
    <w:rsid w:val="000B4CDE"/>
    <w:pPr>
      <w:spacing w:before="240" w:line="259" w:lineRule="auto"/>
      <w:outlineLvl w:val="9"/>
    </w:pPr>
    <w:rPr>
      <w:rFonts w:asciiTheme="majorHAnsi" w:hAnsiTheme="majorHAnsi"/>
      <w:b w:val="0"/>
      <w:bCs w:val="0"/>
      <w:color w:val="2F5496" w:themeColor="accent1" w:themeShade="BF"/>
      <w:sz w:val="32"/>
      <w:lang w:val="en-US"/>
    </w:rPr>
  </w:style>
  <w:style w:type="table" w:customStyle="1" w:styleId="LightShading1">
    <w:name w:val="Light Shading1"/>
    <w:basedOn w:val="TableNormal"/>
    <w:uiPriority w:val="60"/>
    <w:rsid w:val="006271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D6B84"/>
    <w:rPr>
      <w:color w:val="0563C1" w:themeColor="hyperlink"/>
      <w:u w:val="single"/>
    </w:rPr>
  </w:style>
  <w:style w:type="character" w:customStyle="1" w:styleId="UnresolvedMention1">
    <w:name w:val="Unresolved Mention1"/>
    <w:basedOn w:val="DefaultParagraphFont"/>
    <w:uiPriority w:val="99"/>
    <w:semiHidden/>
    <w:unhideWhenUsed/>
    <w:rsid w:val="001D6B84"/>
    <w:rPr>
      <w:color w:val="605E5C"/>
      <w:shd w:val="clear" w:color="auto" w:fill="E1DFDD"/>
    </w:rPr>
  </w:style>
  <w:style w:type="paragraph" w:styleId="FootnoteText">
    <w:name w:val="footnote text"/>
    <w:basedOn w:val="Normal"/>
    <w:link w:val="FootnoteTextChar"/>
    <w:uiPriority w:val="99"/>
    <w:semiHidden/>
    <w:unhideWhenUsed/>
    <w:rsid w:val="00B9089B"/>
    <w:pPr>
      <w:spacing w:after="0" w:line="360" w:lineRule="auto"/>
    </w:pPr>
    <w:rPr>
      <w:rFonts w:ascii="Candara" w:hAnsi="Candara"/>
      <w:sz w:val="20"/>
      <w:szCs w:val="20"/>
    </w:rPr>
  </w:style>
  <w:style w:type="character" w:customStyle="1" w:styleId="FootnoteTextChar">
    <w:name w:val="Footnote Text Char"/>
    <w:basedOn w:val="DefaultParagraphFont"/>
    <w:link w:val="FootnoteText"/>
    <w:uiPriority w:val="99"/>
    <w:semiHidden/>
    <w:rsid w:val="00B9089B"/>
    <w:rPr>
      <w:rFonts w:ascii="Candara" w:hAnsi="Candara"/>
      <w:sz w:val="20"/>
      <w:szCs w:val="20"/>
    </w:rPr>
  </w:style>
  <w:style w:type="character" w:styleId="FootnoteReference">
    <w:name w:val="footnote reference"/>
    <w:basedOn w:val="DefaultParagraphFont"/>
    <w:uiPriority w:val="99"/>
    <w:semiHidden/>
    <w:unhideWhenUsed/>
    <w:rsid w:val="00B9089B"/>
    <w:rPr>
      <w:vertAlign w:val="superscript"/>
    </w:rPr>
  </w:style>
  <w:style w:type="paragraph" w:styleId="CommentSubject">
    <w:name w:val="annotation subject"/>
    <w:basedOn w:val="CommentText"/>
    <w:next w:val="CommentText"/>
    <w:link w:val="CommentSubjectChar"/>
    <w:uiPriority w:val="99"/>
    <w:semiHidden/>
    <w:unhideWhenUsed/>
    <w:rsid w:val="00996E4B"/>
    <w:pPr>
      <w:spacing w:after="160"/>
    </w:pPr>
    <w:rPr>
      <w:rFonts w:eastAsiaTheme="minorHAnsi"/>
      <w:b/>
      <w:bCs/>
      <w:color w:val="auto"/>
    </w:rPr>
  </w:style>
  <w:style w:type="character" w:customStyle="1" w:styleId="CommentSubjectChar">
    <w:name w:val="Comment Subject Char"/>
    <w:basedOn w:val="CommentTextChar"/>
    <w:link w:val="CommentSubject"/>
    <w:uiPriority w:val="99"/>
    <w:semiHidden/>
    <w:rsid w:val="00996E4B"/>
    <w:rPr>
      <w:rFonts w:ascii="Arial" w:eastAsiaTheme="minorEastAsia" w:hAnsi="Arial"/>
      <w:b/>
      <w:bCs/>
      <w:color w:val="000000" w:themeColor="text1"/>
      <w:sz w:val="20"/>
      <w:szCs w:val="20"/>
    </w:rPr>
  </w:style>
  <w:style w:type="paragraph" w:styleId="Revision">
    <w:name w:val="Revision"/>
    <w:hidden/>
    <w:uiPriority w:val="99"/>
    <w:semiHidden/>
    <w:rsid w:val="00252A16"/>
    <w:pPr>
      <w:spacing w:after="0" w:line="240" w:lineRule="auto"/>
    </w:pPr>
    <w:rPr>
      <w:rFonts w:ascii="Arial" w:hAnsi="Arial"/>
      <w:sz w:val="24"/>
    </w:rPr>
  </w:style>
  <w:style w:type="paragraph" w:styleId="NormalWeb">
    <w:name w:val="Normal (Web)"/>
    <w:basedOn w:val="Normal"/>
    <w:uiPriority w:val="99"/>
    <w:semiHidden/>
    <w:unhideWhenUsed/>
    <w:rsid w:val="00CC391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E6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24472">
      <w:bodyDiv w:val="1"/>
      <w:marLeft w:val="0"/>
      <w:marRight w:val="0"/>
      <w:marTop w:val="0"/>
      <w:marBottom w:val="0"/>
      <w:divBdr>
        <w:top w:val="none" w:sz="0" w:space="0" w:color="auto"/>
        <w:left w:val="none" w:sz="0" w:space="0" w:color="auto"/>
        <w:bottom w:val="none" w:sz="0" w:space="0" w:color="auto"/>
        <w:right w:val="none" w:sz="0" w:space="0" w:color="auto"/>
      </w:divBdr>
    </w:div>
    <w:div w:id="466052182">
      <w:bodyDiv w:val="1"/>
      <w:marLeft w:val="0"/>
      <w:marRight w:val="0"/>
      <w:marTop w:val="0"/>
      <w:marBottom w:val="0"/>
      <w:divBdr>
        <w:top w:val="none" w:sz="0" w:space="0" w:color="auto"/>
        <w:left w:val="none" w:sz="0" w:space="0" w:color="auto"/>
        <w:bottom w:val="none" w:sz="0" w:space="0" w:color="auto"/>
        <w:right w:val="none" w:sz="0" w:space="0" w:color="auto"/>
      </w:divBdr>
    </w:div>
    <w:div w:id="533158580">
      <w:bodyDiv w:val="1"/>
      <w:marLeft w:val="0"/>
      <w:marRight w:val="0"/>
      <w:marTop w:val="0"/>
      <w:marBottom w:val="0"/>
      <w:divBdr>
        <w:top w:val="none" w:sz="0" w:space="0" w:color="auto"/>
        <w:left w:val="none" w:sz="0" w:space="0" w:color="auto"/>
        <w:bottom w:val="none" w:sz="0" w:space="0" w:color="auto"/>
        <w:right w:val="none" w:sz="0" w:space="0" w:color="auto"/>
      </w:divBdr>
    </w:div>
    <w:div w:id="838499834">
      <w:bodyDiv w:val="1"/>
      <w:marLeft w:val="0"/>
      <w:marRight w:val="0"/>
      <w:marTop w:val="0"/>
      <w:marBottom w:val="0"/>
      <w:divBdr>
        <w:top w:val="none" w:sz="0" w:space="0" w:color="auto"/>
        <w:left w:val="none" w:sz="0" w:space="0" w:color="auto"/>
        <w:bottom w:val="none" w:sz="0" w:space="0" w:color="auto"/>
        <w:right w:val="none" w:sz="0" w:space="0" w:color="auto"/>
      </w:divBdr>
    </w:div>
    <w:div w:id="883296451">
      <w:bodyDiv w:val="1"/>
      <w:marLeft w:val="0"/>
      <w:marRight w:val="0"/>
      <w:marTop w:val="0"/>
      <w:marBottom w:val="0"/>
      <w:divBdr>
        <w:top w:val="none" w:sz="0" w:space="0" w:color="auto"/>
        <w:left w:val="none" w:sz="0" w:space="0" w:color="auto"/>
        <w:bottom w:val="none" w:sz="0" w:space="0" w:color="auto"/>
        <w:right w:val="none" w:sz="0" w:space="0" w:color="auto"/>
      </w:divBdr>
    </w:div>
    <w:div w:id="935020740">
      <w:bodyDiv w:val="1"/>
      <w:marLeft w:val="0"/>
      <w:marRight w:val="0"/>
      <w:marTop w:val="0"/>
      <w:marBottom w:val="0"/>
      <w:divBdr>
        <w:top w:val="none" w:sz="0" w:space="0" w:color="auto"/>
        <w:left w:val="none" w:sz="0" w:space="0" w:color="auto"/>
        <w:bottom w:val="none" w:sz="0" w:space="0" w:color="auto"/>
        <w:right w:val="none" w:sz="0" w:space="0" w:color="auto"/>
      </w:divBdr>
      <w:divsChild>
        <w:div w:id="1322348902">
          <w:marLeft w:val="274"/>
          <w:marRight w:val="0"/>
          <w:marTop w:val="150"/>
          <w:marBottom w:val="0"/>
          <w:divBdr>
            <w:top w:val="none" w:sz="0" w:space="0" w:color="auto"/>
            <w:left w:val="none" w:sz="0" w:space="0" w:color="auto"/>
            <w:bottom w:val="none" w:sz="0" w:space="0" w:color="auto"/>
            <w:right w:val="none" w:sz="0" w:space="0" w:color="auto"/>
          </w:divBdr>
        </w:div>
        <w:div w:id="601381445">
          <w:marLeft w:val="274"/>
          <w:marRight w:val="0"/>
          <w:marTop w:val="150"/>
          <w:marBottom w:val="0"/>
          <w:divBdr>
            <w:top w:val="none" w:sz="0" w:space="0" w:color="auto"/>
            <w:left w:val="none" w:sz="0" w:space="0" w:color="auto"/>
            <w:bottom w:val="none" w:sz="0" w:space="0" w:color="auto"/>
            <w:right w:val="none" w:sz="0" w:space="0" w:color="auto"/>
          </w:divBdr>
        </w:div>
      </w:divsChild>
    </w:div>
    <w:div w:id="971787073">
      <w:bodyDiv w:val="1"/>
      <w:marLeft w:val="0"/>
      <w:marRight w:val="0"/>
      <w:marTop w:val="0"/>
      <w:marBottom w:val="0"/>
      <w:divBdr>
        <w:top w:val="none" w:sz="0" w:space="0" w:color="auto"/>
        <w:left w:val="none" w:sz="0" w:space="0" w:color="auto"/>
        <w:bottom w:val="none" w:sz="0" w:space="0" w:color="auto"/>
        <w:right w:val="none" w:sz="0" w:space="0" w:color="auto"/>
      </w:divBdr>
    </w:div>
    <w:div w:id="1418021864">
      <w:bodyDiv w:val="1"/>
      <w:marLeft w:val="0"/>
      <w:marRight w:val="0"/>
      <w:marTop w:val="0"/>
      <w:marBottom w:val="0"/>
      <w:divBdr>
        <w:top w:val="none" w:sz="0" w:space="0" w:color="auto"/>
        <w:left w:val="none" w:sz="0" w:space="0" w:color="auto"/>
        <w:bottom w:val="none" w:sz="0" w:space="0" w:color="auto"/>
        <w:right w:val="none" w:sz="0" w:space="0" w:color="auto"/>
      </w:divBdr>
    </w:div>
    <w:div w:id="1751536726">
      <w:bodyDiv w:val="1"/>
      <w:marLeft w:val="0"/>
      <w:marRight w:val="0"/>
      <w:marTop w:val="0"/>
      <w:marBottom w:val="0"/>
      <w:divBdr>
        <w:top w:val="none" w:sz="0" w:space="0" w:color="auto"/>
        <w:left w:val="none" w:sz="0" w:space="0" w:color="auto"/>
        <w:bottom w:val="none" w:sz="0" w:space="0" w:color="auto"/>
        <w:right w:val="none" w:sz="0" w:space="0" w:color="auto"/>
      </w:divBdr>
    </w:div>
    <w:div w:id="1799757632">
      <w:bodyDiv w:val="1"/>
      <w:marLeft w:val="0"/>
      <w:marRight w:val="0"/>
      <w:marTop w:val="0"/>
      <w:marBottom w:val="0"/>
      <w:divBdr>
        <w:top w:val="none" w:sz="0" w:space="0" w:color="auto"/>
        <w:left w:val="none" w:sz="0" w:space="0" w:color="auto"/>
        <w:bottom w:val="none" w:sz="0" w:space="0" w:color="auto"/>
        <w:right w:val="none" w:sz="0" w:space="0" w:color="auto"/>
      </w:divBdr>
    </w:div>
    <w:div w:id="2034527402">
      <w:bodyDiv w:val="1"/>
      <w:marLeft w:val="0"/>
      <w:marRight w:val="0"/>
      <w:marTop w:val="0"/>
      <w:marBottom w:val="0"/>
      <w:divBdr>
        <w:top w:val="none" w:sz="0" w:space="0" w:color="auto"/>
        <w:left w:val="none" w:sz="0" w:space="0" w:color="auto"/>
        <w:bottom w:val="none" w:sz="0" w:space="0" w:color="auto"/>
        <w:right w:val="none" w:sz="0" w:space="0" w:color="auto"/>
      </w:divBdr>
      <w:divsChild>
        <w:div w:id="1775006663">
          <w:marLeft w:val="0"/>
          <w:marRight w:val="0"/>
          <w:marTop w:val="0"/>
          <w:marBottom w:val="0"/>
          <w:divBdr>
            <w:top w:val="none" w:sz="0" w:space="0" w:color="auto"/>
            <w:left w:val="none" w:sz="0" w:space="0" w:color="auto"/>
            <w:bottom w:val="none" w:sz="0" w:space="0" w:color="auto"/>
            <w:right w:val="none" w:sz="0" w:space="0" w:color="auto"/>
          </w:divBdr>
        </w:div>
        <w:div w:id="346561501">
          <w:marLeft w:val="0"/>
          <w:marRight w:val="0"/>
          <w:marTop w:val="0"/>
          <w:marBottom w:val="0"/>
          <w:divBdr>
            <w:top w:val="none" w:sz="0" w:space="0" w:color="auto"/>
            <w:left w:val="none" w:sz="0" w:space="0" w:color="auto"/>
            <w:bottom w:val="none" w:sz="0" w:space="0" w:color="auto"/>
            <w:right w:val="none" w:sz="0" w:space="0" w:color="auto"/>
          </w:divBdr>
        </w:div>
      </w:divsChild>
    </w:div>
    <w:div w:id="205403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england.nhs.uk/looking-after-our-people/" TargetMode="External"/><Relationship Id="rId17" Type="http://schemas.openxmlformats.org/officeDocument/2006/relationships/hyperlink" Target="https://www.england.nhs.uk/publication/general-business-case-process-guidanc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careers.nhs.uk/working-health/working-nhs/nhs-pay-and-benefits/agenda-change-pay-rates/agenda-change-pay-r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capitalnurs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5ABE53C8061F4E8BB69D939553EE7C" ma:contentTypeVersion="8" ma:contentTypeDescription="Create a new document." ma:contentTypeScope="" ma:versionID="72665798f836fa9c1bd390ce72247e33">
  <xsd:schema xmlns:xsd="http://www.w3.org/2001/XMLSchema" xmlns:xs="http://www.w3.org/2001/XMLSchema" xmlns:p="http://schemas.microsoft.com/office/2006/metadata/properties" xmlns:ns2="6f6f0e94-02d0-41c0-93f4-5aadffd32b1a" xmlns:ns3="98784f6e-da5c-4502-8524-a3e0885e8dac" targetNamespace="http://schemas.microsoft.com/office/2006/metadata/properties" ma:root="true" ma:fieldsID="fc3dd81f3f9646dfe707ade76a513b88" ns2:_="" ns3:_="">
    <xsd:import namespace="6f6f0e94-02d0-41c0-93f4-5aadffd32b1a"/>
    <xsd:import namespace="98784f6e-da5c-4502-8524-a3e0885e8d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6f0e94-02d0-41c0-93f4-5aadffd32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84f6e-da5c-4502-8524-a3e0885e8d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02DB5-1938-48B7-A711-F1B86F749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9C87CE-8DB7-44D7-81FF-E10307A10EA0}">
  <ds:schemaRefs>
    <ds:schemaRef ds:uri="http://schemas.microsoft.com/sharepoint/v3/contenttype/forms"/>
  </ds:schemaRefs>
</ds:datastoreItem>
</file>

<file path=customXml/itemProps3.xml><?xml version="1.0" encoding="utf-8"?>
<ds:datastoreItem xmlns:ds="http://schemas.openxmlformats.org/officeDocument/2006/customXml" ds:itemID="{94CA51FD-E262-451D-80FF-467DAE3BF81E}">
  <ds:schemaRefs>
    <ds:schemaRef ds:uri="http://schemas.openxmlformats.org/officeDocument/2006/bibliography"/>
  </ds:schemaRefs>
</ds:datastoreItem>
</file>

<file path=customXml/itemProps4.xml><?xml version="1.0" encoding="utf-8"?>
<ds:datastoreItem xmlns:ds="http://schemas.openxmlformats.org/officeDocument/2006/customXml" ds:itemID="{BFAA6A5A-4913-4BA9-A78A-454CB6B2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6f0e94-02d0-41c0-93f4-5aadffd32b1a"/>
    <ds:schemaRef ds:uri="98784f6e-da5c-4502-8524-a3e0885e8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Desiree Cox</dc:creator>
  <cp:keywords/>
  <dc:description/>
  <cp:lastModifiedBy>Anna Savva</cp:lastModifiedBy>
  <cp:revision>2</cp:revision>
  <cp:lastPrinted>2019-05-31T15:36:00Z</cp:lastPrinted>
  <dcterms:created xsi:type="dcterms:W3CDTF">2022-10-26T09:35:00Z</dcterms:created>
  <dcterms:modified xsi:type="dcterms:W3CDTF">2022-10-26T09:35:00Z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0x010100BD5ABE53C8061F4E8BB69D939553EE7C</vt:lpwstr>
  </property>
  <property fmtid="{D5CDD505-2E9C-101B-9397-08002B2CF9AE}" pid="4" name="_dlc_DocIdItemGuid">
    <vt:lpwstr>660dd362-b452-4e41-a349-78399dad1ff3</vt:lpwstr>
  </property>
</Properties>
</file>